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EDITAL DE LICITAÇÃO Nº 01/2018</w:t>
      </w:r>
    </w:p>
    <w:p w:rsidR="007A538C" w:rsidRDefault="00A16C4F">
      <w:pPr>
        <w:pStyle w:val="Standard"/>
        <w:spacing w:line="360" w:lineRule="auto"/>
        <w:jc w:val="center"/>
        <w:rPr>
          <w:b/>
          <w:u w:val="single"/>
        </w:rPr>
      </w:pPr>
      <w:r>
        <w:rPr>
          <w:b/>
          <w:u w:val="single"/>
        </w:rPr>
        <w:t>MODALIDADE – PREGÃO ELETRÔNICO</w:t>
      </w:r>
    </w:p>
    <w:p w:rsidR="007A538C" w:rsidRDefault="00424D62">
      <w:pPr>
        <w:pStyle w:val="Standard"/>
        <w:spacing w:line="360" w:lineRule="auto"/>
        <w:jc w:val="center"/>
      </w:pPr>
      <w:r>
        <w:rPr>
          <w:b/>
          <w:bCs/>
          <w:u w:val="single"/>
        </w:rPr>
        <w:t>PROCESSO SEI 19.00.6120.0000679/2018-85</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7" w:history="1">
        <w:r>
          <w:rPr>
            <w:rStyle w:val="Hyperlink"/>
            <w:b/>
          </w:rPr>
          <w:t>www.comprasgovernamentais.gov.br</w:t>
        </w:r>
      </w:hyperlink>
    </w:p>
    <w:p w:rsidR="007A538C" w:rsidRDefault="00AB2268">
      <w:pPr>
        <w:pStyle w:val="Standard"/>
        <w:spacing w:line="360" w:lineRule="auto"/>
        <w:jc w:val="both"/>
        <w:rPr>
          <w:b/>
        </w:rPr>
      </w:pPr>
      <w:r>
        <w:rPr>
          <w:b/>
        </w:rPr>
        <w:t>DATA: 05</w:t>
      </w:r>
      <w:r w:rsidR="009912F4">
        <w:rPr>
          <w:b/>
        </w:rPr>
        <w:t>/03</w:t>
      </w:r>
      <w:r w:rsidR="00A16C4F">
        <w:rPr>
          <w:b/>
        </w:rPr>
        <w:t>/2018</w:t>
      </w:r>
    </w:p>
    <w:p w:rsidR="007A538C" w:rsidRDefault="00A16C4F">
      <w:pPr>
        <w:pStyle w:val="Standard"/>
        <w:spacing w:line="360" w:lineRule="auto"/>
        <w:jc w:val="both"/>
        <w:rPr>
          <w:b/>
        </w:rPr>
      </w:pPr>
      <w:r>
        <w:rPr>
          <w:b/>
        </w:rPr>
        <w:t>HORÁRIO: 14 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AB2268">
        <w:rPr>
          <w:rFonts w:eastAsia="CourierNewPSMT" w:cs="CourierNewPSMT"/>
          <w:b/>
          <w:bCs/>
        </w:rPr>
        <w:t>ia 05</w:t>
      </w:r>
      <w:r w:rsidR="00350DBD">
        <w:rPr>
          <w:rFonts w:eastAsia="CourierNewPSMT" w:cs="CourierNewPSMT"/>
          <w:b/>
          <w:bCs/>
        </w:rPr>
        <w:t xml:space="preserve"> </w:t>
      </w:r>
      <w:r w:rsidR="009912F4">
        <w:rPr>
          <w:rFonts w:eastAsia="CourierNewPSMT" w:cs="CourierNewPSMT"/>
          <w:b/>
          <w:bCs/>
        </w:rPr>
        <w:t>de março</w:t>
      </w:r>
      <w:r>
        <w:rPr>
          <w:rFonts w:eastAsia="CourierNewPSMT" w:cs="CourierNewPSMT"/>
          <w:b/>
          <w:bCs/>
        </w:rPr>
        <w:t xml:space="preserve"> de 2018, às 14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history="1">
        <w:r>
          <w:rPr>
            <w:b/>
          </w:rPr>
          <w:t>www.comprasgovernamentais.gov.br</w:t>
        </w:r>
      </w:hyperlink>
      <w:r>
        <w:rPr>
          <w:rFonts w:eastAsia="CourierNewPSMT"/>
        </w:rPr>
        <w:t xml:space="preserve">, </w:t>
      </w:r>
      <w:r>
        <w:t xml:space="preserve">que realizará licitação do </w:t>
      </w:r>
      <w:r>
        <w:rPr>
          <w:b/>
          <w:bCs/>
        </w:rPr>
        <w:t xml:space="preserve">tipo MENOR PREÇO GLOBAL/LOTE, </w:t>
      </w:r>
      <w:r>
        <w:rPr>
          <w:rFonts w:cs="Trebuchet MS"/>
          <w:bCs/>
          <w:color w:val="000000"/>
        </w:rPr>
        <w:t>na modalidade de PREGÃO ELETRÔNICO</w:t>
      </w:r>
      <w:r>
        <w:rPr>
          <w:rFonts w:cs="Trebuchet MS"/>
          <w:b/>
          <w:bCs/>
          <w:color w:val="000000"/>
        </w:rPr>
        <w:t xml:space="preserve">, </w:t>
      </w:r>
      <w:r>
        <w:rPr>
          <w:rFonts w:eastAsia="Arial" w:cs="Trebuchet MS"/>
          <w:b/>
          <w:bCs/>
          <w:color w:val="000000"/>
        </w:rPr>
        <w:t xml:space="preserve">para </w:t>
      </w:r>
      <w:r>
        <w:rPr>
          <w:rFonts w:cs="Times New Roman"/>
          <w:b/>
          <w:bCs/>
        </w:rPr>
        <w:t>contratação de empresa de engenharia especializada na prestação de serviços técnicos de adequação e manutenção do sistema de monitoramento de tráfego, gerenciado pelo software TKVISION,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w:t>
      </w:r>
      <w:r>
        <w:rPr>
          <w:rFonts w:eastAsia="Arial" w:cs="Trebuchet MS"/>
          <w:b/>
          <w:bCs/>
          <w:color w:val="000000"/>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 xml:space="preserve">ei Complementar nº </w:t>
      </w:r>
      <w:r>
        <w:rPr>
          <w:rFonts w:cs="Trebuchet MS"/>
        </w:rPr>
        <w:lastRenderedPageBreak/>
        <w:t>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Pr>
          <w:b/>
          <w:bCs/>
        </w:rPr>
        <w:t xml:space="preserve"> a </w:t>
      </w:r>
      <w:r>
        <w:rPr>
          <w:rFonts w:cs="Times New Roman"/>
          <w:b/>
          <w:bCs/>
        </w:rPr>
        <w:t>contratação de empresa de engenharia especializada na prestação de serviços técnicos de adequação e manutenção do sistema de monitoramento de tráfego, gerenciado pelo software TKVISION,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7A538C" w:rsidRDefault="00A16C4F">
      <w:pPr>
        <w:pStyle w:val="Standard"/>
        <w:spacing w:line="360" w:lineRule="auto"/>
        <w:ind w:firstLine="1417"/>
        <w:jc w:val="both"/>
      </w:pPr>
      <w:r>
        <w:rPr>
          <w:rFonts w:cs="Trebuchet MS"/>
        </w:rPr>
        <w:tab/>
      </w:r>
      <w:r>
        <w:rPr>
          <w:rFonts w:cs="Trebuchet MS"/>
          <w:b/>
          <w:bCs/>
        </w:rPr>
        <w:t xml:space="preserve">3.1 </w:t>
      </w:r>
      <w:r>
        <w:rPr>
          <w:rFonts w:cs="Times New Roman"/>
          <w:b/>
          <w:bCs/>
        </w:rPr>
        <w:t>Poderão participar desta licitação, pessoas jurídicas que explorem ramo de atividade compatível com o objeto licitado, atendam às condições exigidas neste Edital e seus anexos e estejam devidamente credenciadas, por meio do</w:t>
      </w:r>
      <w:r>
        <w:rPr>
          <w:rFonts w:cs="Trebuchet MS"/>
          <w:b/>
          <w:bCs/>
        </w:rPr>
        <w:t xml:space="preserve"> sítio </w:t>
      </w:r>
      <w:hyperlink r:id="rId9" w:history="1">
        <w:r>
          <w:rPr>
            <w:rStyle w:val="Hyperlink"/>
            <w:rFonts w:cs="Trebuchet MS"/>
            <w:b/>
            <w:bCs/>
          </w:rPr>
          <w:t>www.comprasgovernamentais.gov.br</w:t>
        </w:r>
      </w:hyperlink>
      <w:r>
        <w:rPr>
          <w:rFonts w:cs="Trebuchet MS"/>
          <w:b/>
          <w:bCs/>
        </w:rPr>
        <w:t>, para acesso ao 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 estiver em recuperação judicial, processo de falência ou sob regime de concordata, concurso de credores, dissolução ou liquidação;</w:t>
      </w:r>
    </w:p>
    <w:p w:rsidR="007A538C" w:rsidRDefault="00A16C4F">
      <w:pPr>
        <w:pStyle w:val="Standard"/>
        <w:spacing w:line="360" w:lineRule="auto"/>
        <w:ind w:firstLine="1417"/>
        <w:jc w:val="both"/>
      </w:pPr>
      <w:r>
        <w:t>f) sociedade cooperativa de mão de obra, constituída nos termos da Lei nº 5.764, de 16/12/1971, em função do Termo de Conciliação celebrado entre a União (AGU) e o Ministério Público do Trabalho;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w:t>
      </w:r>
      <w:r>
        <w:rPr>
          <w:rFonts w:eastAsia="Times New Roman" w:cs="Trebuchet MS"/>
          <w:b/>
          <w:bCs/>
        </w:rPr>
        <w:lastRenderedPageBreak/>
        <w:t xml:space="preserve">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lastRenderedPageBreak/>
        <w:t xml:space="preserve">4.5 </w:t>
      </w:r>
      <w:r>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w:t>
      </w:r>
      <w:r>
        <w:lastRenderedPageBreak/>
        <w:t xml:space="preserve">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7A538C" w:rsidRDefault="00A16C4F">
      <w:pPr>
        <w:pStyle w:val="Standard"/>
        <w:spacing w:line="360" w:lineRule="auto"/>
        <w:ind w:firstLine="1417"/>
        <w:jc w:val="both"/>
      </w:pPr>
      <w:r>
        <w:t>5.10.1 O ônus da prova da exequibilidade dos preços cotados incumbe ao autor da proposta, no prazo de cinco dias úteis contados da notificação.</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pública do Pregão Eletrônico nº 01/2018,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9912F4">
        <w:rPr>
          <w:rFonts w:eastAsia="Arial" w:cs="Arial"/>
          <w:b/>
          <w:bCs/>
        </w:rPr>
        <w:t>Até o</w:t>
      </w:r>
      <w:r w:rsidR="001B616E">
        <w:rPr>
          <w:rFonts w:eastAsia="Arial" w:cs="Arial"/>
          <w:b/>
          <w:bCs/>
        </w:rPr>
        <w:t xml:space="preserve"> </w:t>
      </w:r>
      <w:r w:rsidR="00AB2268">
        <w:rPr>
          <w:rFonts w:eastAsia="Arial" w:cs="Arial"/>
          <w:b/>
          <w:bCs/>
        </w:rPr>
        <w:t>dia 28/02</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AB2268">
        <w:rPr>
          <w:rStyle w:val="Internetlink"/>
          <w:rFonts w:eastAsia="Arial" w:cs="Arial"/>
          <w:b/>
          <w:bCs/>
          <w:color w:val="auto"/>
          <w:u w:val="none"/>
        </w:rPr>
        <w:t>até o dia 27/02</w:t>
      </w:r>
      <w:bookmarkStart w:id="0" w:name="_GoBack"/>
      <w:bookmarkEnd w:id="0"/>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lastRenderedPageBreak/>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 xml:space="preserve">8.10 No caso de desconexão com o Pregoeiro no decorrer da etapa competitiva deste </w:t>
      </w:r>
      <w:r>
        <w:rPr>
          <w:color w:val="000000"/>
        </w:rPr>
        <w:lastRenderedPageBreak/>
        <w:t>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Default="00A16C4F">
      <w:pPr>
        <w:pStyle w:val="Standard"/>
        <w:spacing w:line="360" w:lineRule="auto"/>
        <w:ind w:firstLine="1417"/>
        <w:jc w:val="both"/>
        <w:rPr>
          <w:b/>
          <w:bCs/>
        </w:rPr>
      </w:pPr>
      <w:r>
        <w:rPr>
          <w:b/>
          <w:bCs/>
        </w:rPr>
        <w:t xml:space="preserve"> 9.4 O valor estimado para a contratação será conforme tabela abaixo:</w:t>
      </w:r>
    </w:p>
    <w:p w:rsidR="007A538C" w:rsidRDefault="007A538C">
      <w:pPr>
        <w:pStyle w:val="Standard"/>
        <w:autoSpaceDE w:val="0"/>
        <w:spacing w:line="360" w:lineRule="auto"/>
        <w:ind w:left="430"/>
        <w:jc w:val="center"/>
        <w:rPr>
          <w:rFonts w:cs="Times New Roman"/>
          <w:b/>
          <w:bCs/>
          <w:u w:val="single"/>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850"/>
        <w:gridCol w:w="1276"/>
      </w:tblGrid>
      <w:tr w:rsidR="007A538C">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shd w:val="clear" w:color="auto" w:fill="B2B2B2"/>
              <w:jc w:val="both"/>
              <w:rPr>
                <w:rFonts w:eastAsia="Arial" w:cs="Times New Roman"/>
                <w:b/>
                <w:bCs/>
              </w:rPr>
            </w:pPr>
            <w:r>
              <w:rPr>
                <w:rFonts w:eastAsia="Arial" w:cs="Times New Roman"/>
                <w:b/>
                <w:bCs/>
              </w:rPr>
              <w:t>LOTE ÚNICO</w:t>
            </w:r>
          </w:p>
        </w:tc>
      </w:tr>
      <w:tr w:rsidR="007A538C">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Unidade</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Unitário</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Qtde anual</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Total (R$)</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rPr>
                <w:rFonts w:cs="Times New Roman"/>
              </w:rPr>
            </w:pPr>
            <w:r>
              <w:rPr>
                <w:rFonts w:cs="Times New Roman"/>
              </w:rPr>
              <w:t>Prestação de serviços técnicos de manutenção preventiva, preditiva e corretiva, incluindo o sistema de monitoramento de tráfego TKVISION, com o fornecimento de peças, componentes e acessórios genuínos para (3) três elevadores e 1 (uma) plataforma elevatória, marca ThyssenKrupp Elevadores</w:t>
            </w:r>
            <w:r w:rsidR="00901F30">
              <w:rPr>
                <w:rFonts w:cs="Times New Roman"/>
              </w:rPr>
              <w:t>.</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Mês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5.195,62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A16C4F">
            <w:pPr>
              <w:pStyle w:val="TableContents"/>
              <w:jc w:val="center"/>
              <w:rPr>
                <w:rFonts w:eastAsia="Arial" w:cs="Times New Roman"/>
              </w:rPr>
            </w:pPr>
            <w:r>
              <w:rPr>
                <w:rFonts w:eastAsia="Arial" w:cs="Times New Roman"/>
              </w:rPr>
              <w:t>62.347,44</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2</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pPr>
            <w:r>
              <w:rPr>
                <w:rFonts w:cs="Times New Roman"/>
              </w:rPr>
              <w:t xml:space="preserve">Prestação de serviços de apoio técnico no local por um período contínuo de 4 horas, </w:t>
            </w:r>
            <w:r>
              <w:rPr>
                <w:rFonts w:cs="Times New Roman"/>
                <w:u w:val="single"/>
              </w:rPr>
              <w:t>sob demanda</w:t>
            </w:r>
            <w:r>
              <w:rPr>
                <w:rFonts w:cs="Times New Roman"/>
              </w:rPr>
              <w:t xml:space="preserve">, por </w:t>
            </w:r>
            <w:r>
              <w:rPr>
                <w:rFonts w:cs="Times New Roman"/>
              </w:rPr>
              <w:lastRenderedPageBreak/>
              <w:t>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lastRenderedPageBreak/>
              <w:t>DEMAN</w:t>
            </w:r>
            <w:r>
              <w:rPr>
                <w:rFonts w:eastAsia="Arial" w:cs="Times New Roman"/>
              </w:rPr>
              <w:lastRenderedPageBreak/>
              <w:t>DA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both"/>
              <w:rPr>
                <w:rFonts w:eastAsia="Arial" w:cs="Times New Roman"/>
              </w:rPr>
            </w:pPr>
          </w:p>
          <w:p w:rsidR="007A538C" w:rsidRDefault="007A538C">
            <w:pPr>
              <w:pStyle w:val="Standard"/>
              <w:tabs>
                <w:tab w:val="left" w:pos="709"/>
                <w:tab w:val="left" w:pos="1418"/>
              </w:tabs>
              <w:snapToGrid w:val="0"/>
              <w:spacing w:before="57" w:after="57" w:line="360" w:lineRule="auto"/>
              <w:jc w:val="both"/>
              <w:rPr>
                <w:rFonts w:eastAsia="Arial" w:cs="Times New Roman"/>
              </w:rPr>
            </w:pPr>
          </w:p>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t>223,30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lastRenderedPageBreak/>
              <w:t>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7A538C">
            <w:pPr>
              <w:pStyle w:val="TableContents"/>
              <w:jc w:val="center"/>
              <w:rPr>
                <w:rFonts w:eastAsia="Arial" w:cs="Times New Roman"/>
              </w:rPr>
            </w:pPr>
          </w:p>
          <w:p w:rsidR="007A538C" w:rsidRDefault="00A16C4F">
            <w:pPr>
              <w:pStyle w:val="TableContents"/>
              <w:jc w:val="center"/>
              <w:rPr>
                <w:rFonts w:eastAsia="Arial" w:cs="Times New Roman"/>
              </w:rPr>
            </w:pPr>
            <w:r>
              <w:rPr>
                <w:rFonts w:eastAsia="Arial" w:cs="Times New Roman"/>
              </w:rPr>
              <w:t>893,20</w:t>
            </w:r>
          </w:p>
        </w:tc>
      </w:tr>
      <w:tr w:rsidR="007A538C">
        <w:tc>
          <w:tcPr>
            <w:tcW w:w="7655"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TableContents"/>
              <w:jc w:val="center"/>
            </w:pPr>
            <w:r>
              <w:rPr>
                <w:rFonts w:eastAsia="Arial" w:cs="Times New Roman"/>
                <w:b/>
                <w:bCs/>
              </w:rPr>
              <w:lastRenderedPageBreak/>
              <w:t>VALOR GLOBAL (R$)</w:t>
            </w:r>
          </w:p>
        </w:tc>
        <w:tc>
          <w:tcPr>
            <w:tcW w:w="2126"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rsidR="007A538C" w:rsidRDefault="00A16C4F">
            <w:pPr>
              <w:pStyle w:val="TableContents"/>
              <w:jc w:val="center"/>
              <w:rPr>
                <w:rFonts w:eastAsia="Arial" w:cs="Times New Roman"/>
              </w:rPr>
            </w:pPr>
            <w:r>
              <w:rPr>
                <w:rFonts w:eastAsia="Arial" w:cs="Times New Roman"/>
              </w:rPr>
              <w:t>63.240,64</w:t>
            </w:r>
          </w:p>
        </w:tc>
      </w:tr>
    </w:tbl>
    <w:p w:rsidR="007A538C" w:rsidRDefault="007A538C">
      <w:pPr>
        <w:pStyle w:val="Standard"/>
        <w:spacing w:line="360" w:lineRule="auto"/>
        <w:ind w:firstLine="1417"/>
        <w:jc w:val="both"/>
        <w:rPr>
          <w:rFonts w:cs="Times New Roman"/>
          <w:b/>
          <w:bCs/>
        </w:rPr>
      </w:pPr>
    </w:p>
    <w:p w:rsidR="007A538C" w:rsidRDefault="00A16C4F">
      <w:pPr>
        <w:pStyle w:val="Standard"/>
        <w:spacing w:line="360" w:lineRule="auto"/>
        <w:ind w:firstLine="1417"/>
        <w:jc w:val="both"/>
      </w:pPr>
      <w:r>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lastRenderedPageBreak/>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PREGÃO ELETRÔNICO Nº 01/2018</w:t>
      </w:r>
    </w:p>
    <w:p w:rsidR="00424D62" w:rsidRDefault="00A16C4F" w:rsidP="00424D62">
      <w:pPr>
        <w:pStyle w:val="Standard"/>
        <w:spacing w:line="360" w:lineRule="auto"/>
        <w:ind w:firstLine="1417"/>
      </w:pPr>
      <w:r>
        <w:rPr>
          <w:rFonts w:eastAsia="CourierNewPSMT" w:cs="CourierNewPSMT"/>
          <w:b/>
          <w:bCs/>
        </w:rPr>
        <w:t xml:space="preserve">PROCESSO </w:t>
      </w:r>
      <w:r w:rsidR="00424D62" w:rsidRPr="00424D62">
        <w:rPr>
          <w:b/>
          <w:bCs/>
        </w:rPr>
        <w:t>SEI 19.00.6120.0000679/2018-85</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 xml:space="preserve">A habilitação das licitantes será verificada nos seguintes sistemas/cadastros, sem </w:t>
      </w:r>
      <w:r>
        <w:rPr>
          <w:rFonts w:eastAsia="CourierNewPSMT" w:cs="CourierNewPSMT"/>
        </w:rPr>
        <w:lastRenderedPageBreak/>
        <w:t>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10.3.7 A licitante deverá apresentar ainda, os atestados ou declarações constantes no item 15 – Critérios de Qualificação Técnica, do 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7A538C" w:rsidRDefault="00A16C4F">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 Para as Microempresas e Empresas de Pequeno Porte, a comprovação da regularidade fiscal observará a disciplina estabelecida nos artigos 42 e 43 da Lei Complementar nº 123, de 14/12/2006, regulamentados pelo art. 4º do Decreto nº 8.538/2015.</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10.11 Havendo alguma restrição na comprovação da regularidade fiscal, tratando-se de ME ou EPP, será assegurado o prazo de 5 (cinco) dias úteis, cujo termo inicial corresponderá ao </w:t>
      </w:r>
      <w:r>
        <w:rPr>
          <w:rFonts w:ascii="Times New Roman" w:eastAsia="Times New Roman" w:hAnsi="Times New Roman" w:cs="Times New Roman"/>
          <w:color w:val="000000"/>
          <w:sz w:val="24"/>
        </w:rPr>
        <w:lastRenderedPageBreak/>
        <w:t>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7A538C" w:rsidRDefault="00A16C4F">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10.14 Para habilitação no presente pregão serão exigidos os seguintes documentos: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7A538C" w:rsidRDefault="00A16C4F">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7A538C" w:rsidRDefault="00A16C4F">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7A538C" w:rsidRDefault="00A16C4F">
      <w:pPr>
        <w:pStyle w:val="Standard"/>
        <w:tabs>
          <w:tab w:val="left" w:pos="15"/>
        </w:tabs>
        <w:spacing w:line="360" w:lineRule="auto"/>
        <w:jc w:val="both"/>
      </w:pPr>
      <w:r>
        <w:tab/>
      </w:r>
      <w:r>
        <w:tab/>
      </w:r>
      <w:r>
        <w:tab/>
      </w:r>
      <w:r>
        <w:rPr>
          <w:rFonts w:eastAsia="Times New Roman" w:cs="Times New Roman"/>
          <w:color w:val="000000"/>
        </w:rPr>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O licitante se responsabilizará pelo endereço fornecido, de modo que, qualquer alteração deste endereço eletrônico deverá ser comunicada ao CNMP, considerando-se válida toda correspondência enviada ao endereço constante dos autos;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10.17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ascii="Times New Roman" w:hAnsi="Times New Roman" w:cs="Trebuchet MS"/>
          <w:b/>
          <w:bCs/>
        </w:rPr>
        <w:lastRenderedPageBreak/>
        <w:t>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nos itens 22 – Das Sanções Administrativas e 23 – Da Tabela de Penalidade,  ambos 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A16C4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lastRenderedPageBreak/>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w:t>
      </w:r>
      <w:r>
        <w:rPr>
          <w:rFonts w:eastAsia="Arial" w:cs="Trebuchet MS"/>
          <w:lang w:eastAsia="pt-BR"/>
        </w:rPr>
        <w:lastRenderedPageBreak/>
        <w:t>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7A538C" w:rsidRDefault="00A16C4F">
      <w:pPr>
        <w:pStyle w:val="Standard"/>
        <w:spacing w:line="360" w:lineRule="auto"/>
        <w:ind w:firstLine="1417"/>
        <w:jc w:val="both"/>
      </w:pPr>
      <w:r>
        <w:tab/>
        <w:t xml:space="preserve">13.2 O CNMP convocará a adjudicatária, para assinar o contrato, a qual terá o prazo de 5 (cinco) dias úteis, a contar do recebimento da notificação para comparecer à Administração, sob </w:t>
      </w:r>
      <w:r>
        <w:lastRenderedPageBreak/>
        <w:t>pena de decair o direito à contratação, sem prejuízo das penalidades previstas neste Edital, sujeitando-se às penalidades aludidas nos termos do art. 81 da Lei nº 8.666/93, bem como ensejará a aplicação das sanções previstas no item 13 deste Edital e no art. 7º da Lei nº 10.520/2002.</w:t>
      </w:r>
    </w:p>
    <w:p w:rsidR="007A538C" w:rsidRDefault="00A16C4F">
      <w:pPr>
        <w:pStyle w:val="Standard"/>
        <w:spacing w:line="360" w:lineRule="auto"/>
        <w:ind w:firstLine="1417"/>
        <w:jc w:val="both"/>
      </w:pPr>
      <w:r>
        <w:tab/>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A16C4F">
      <w:pPr>
        <w:pStyle w:val="Standard"/>
        <w:spacing w:line="360" w:lineRule="auto"/>
        <w:ind w:firstLine="1417"/>
        <w:jc w:val="both"/>
      </w:pPr>
      <w:r>
        <w:tab/>
        <w:t>13.4 Na prestação dos serviços objeto deste pregão, deverão ser observadas as especificações e demais orientações descritas neste Edital e no Termo de Referência (Anexo I).</w:t>
      </w:r>
    </w:p>
    <w:p w:rsidR="007A538C" w:rsidRDefault="00A16C4F">
      <w:pPr>
        <w:pStyle w:val="Standard"/>
        <w:spacing w:line="360" w:lineRule="auto"/>
        <w:ind w:firstLine="1417"/>
        <w:jc w:val="both"/>
      </w:pPr>
      <w:r>
        <w:tab/>
        <w:t>13.5 Até a efetiva assinatura do contrato, poderá ser desclassificada a proposta da licitante vencedora, caso o CONSELHO NACIONAL DO MINISTÉRIO PÚBLICO venha a ter conhecimento de fato desabonador à sua habilitação, conhecido após o julgamento.</w:t>
      </w:r>
    </w:p>
    <w:p w:rsidR="007A538C" w:rsidRDefault="00A16C4F">
      <w:pPr>
        <w:pStyle w:val="Standard"/>
        <w:spacing w:line="360" w:lineRule="auto"/>
        <w:ind w:firstLine="1417"/>
        <w:jc w:val="both"/>
      </w:pPr>
      <w:r>
        <w:tab/>
        <w:t>13.6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Natureza de Despesa 3.3.3.90.39.16, 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w:t>
      </w:r>
      <w:r>
        <w:lastRenderedPageBreak/>
        <w:t>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pPr>
      <w:r>
        <w:rPr>
          <w:rStyle w:val="Internetlink"/>
          <w:color w:val="auto"/>
          <w:u w:val="none"/>
        </w:rPr>
        <w:t>18.14 O foro da Justiça Federal da cidade de Brasília-DF é o competente para dirimir quaisquer questões judiciais resultantes deste Edital.</w:t>
      </w:r>
    </w:p>
    <w:p w:rsidR="007A538C" w:rsidRDefault="007A538C">
      <w:pPr>
        <w:pStyle w:val="Standard"/>
        <w:spacing w:line="360" w:lineRule="auto"/>
        <w:ind w:firstLine="1417"/>
        <w:jc w:val="center"/>
        <w:rPr>
          <w:b/>
          <w:u w:val="single"/>
        </w:rPr>
      </w:pPr>
    </w:p>
    <w:p w:rsidR="007A538C" w:rsidRDefault="00A16C4F">
      <w:pPr>
        <w:pStyle w:val="Standard"/>
        <w:tabs>
          <w:tab w:val="left" w:pos="360"/>
        </w:tabs>
        <w:spacing w:line="360" w:lineRule="auto"/>
        <w:jc w:val="center"/>
      </w:pPr>
      <w:r>
        <w:t>Brasília,          de                    de  2018</w:t>
      </w:r>
    </w:p>
    <w:p w:rsidR="007A538C" w:rsidRDefault="007A538C">
      <w:pPr>
        <w:pStyle w:val="Standard"/>
        <w:tabs>
          <w:tab w:val="left" w:pos="360"/>
        </w:tabs>
        <w:spacing w:line="360" w:lineRule="auto"/>
        <w:jc w:val="center"/>
      </w:pP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6"/>
          <w:footerReference w:type="default" r:id="rId27"/>
          <w:pgSz w:w="11906" w:h="16838"/>
          <w:pgMar w:top="3349" w:right="1134" w:bottom="1603" w:left="1134" w:header="1134" w:footer="1134" w:gutter="0"/>
          <w:cols w:space="720"/>
        </w:sectPr>
      </w:pPr>
      <w:r>
        <w:rPr>
          <w:b/>
          <w:bCs/>
          <w:lang w:eastAsia="pt-BR"/>
        </w:rPr>
        <w:t>Pregoeira</w:t>
      </w:r>
    </w:p>
    <w:bookmarkEnd w:id="1"/>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BF44B0" w:rsidRDefault="00A16C4F" w:rsidP="00BF44B0">
      <w:pPr>
        <w:pStyle w:val="Standard"/>
        <w:spacing w:line="360" w:lineRule="auto"/>
        <w:jc w:val="center"/>
      </w:pPr>
      <w:r>
        <w:rPr>
          <w:b/>
          <w:bCs/>
          <w:u w:val="single"/>
        </w:rPr>
        <w:t xml:space="preserve">PROCESSO </w:t>
      </w:r>
      <w:r w:rsidR="00BF44B0">
        <w:rPr>
          <w:b/>
          <w:bCs/>
          <w:u w:val="single"/>
        </w:rPr>
        <w:t>SEI 19.00.6120.0000679/2018-85</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rStyle w:val="Fontepargpadro1"/>
          <w:rFonts w:cs="Times New Roman"/>
          <w:b/>
          <w:bCs/>
          <w:u w:val="single"/>
        </w:rPr>
        <w:t>TERMO DE REFERÊNCIA</w:t>
      </w:r>
    </w:p>
    <w:p w:rsidR="007A538C" w:rsidRDefault="007A538C">
      <w:pPr>
        <w:pStyle w:val="Standard"/>
        <w:autoSpaceDE w:val="0"/>
        <w:spacing w:line="360" w:lineRule="auto"/>
        <w:jc w:val="center"/>
        <w:rPr>
          <w:u w:val="single"/>
        </w:rPr>
      </w:pPr>
    </w:p>
    <w:p w:rsidR="007A538C" w:rsidRDefault="007A538C">
      <w:pPr>
        <w:pStyle w:val="western"/>
        <w:spacing w:before="0" w:after="0"/>
        <w:jc w:val="center"/>
        <w:rPr>
          <w:rFonts w:cs="Times New Roman"/>
          <w:b/>
          <w:bCs/>
          <w:u w:val="single"/>
        </w:rPr>
      </w:pP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Do Objeto</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Contratação de empresa de engenharia especializada na prestação de serviços técnicos de adequação e manutenção do sistema de monitoramento de tráfego, gerenciado pelo software TKVISION, e prestação de serviços de manutenção preventiva, preditiva e corretiva para 3 (três) elevadores e 1 (uma) plataforma elevatória, marca ThyssenKrupp Elevadores, instalados no edifício-sede do Conselho Nacional do Ministério Público - CNMP, com o fornecimento total de dispositivos, peças, componentes e acessórios originais, conforme especificações e condições estabelecidas neste Termo de Referência.</w:t>
      </w: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Justificativa e Alinhamento com o Planejamento Estratégico</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A presente contratação</w:t>
      </w:r>
      <w:r w:rsidR="00944AE7">
        <w:rPr>
          <w:rStyle w:val="Fontepargpadro1"/>
          <w:rFonts w:ascii="Times New Roman" w:hAnsi="Times New Roman" w:cs="Times New Roman"/>
          <w:bCs/>
          <w:szCs w:val="24"/>
        </w:rPr>
        <w:t xml:space="preserve"> está atrelada à ação CNMP_PG_18</w:t>
      </w:r>
      <w:r w:rsidR="00D758EB">
        <w:rPr>
          <w:rStyle w:val="Fontepargpadro1"/>
          <w:rFonts w:ascii="Times New Roman" w:hAnsi="Times New Roman" w:cs="Times New Roman"/>
          <w:bCs/>
          <w:szCs w:val="24"/>
        </w:rPr>
        <w:t>_COENG_011</w:t>
      </w:r>
      <w:r>
        <w:rPr>
          <w:rStyle w:val="Fontepargpadro1"/>
          <w:rFonts w:ascii="Times New Roman" w:hAnsi="Times New Roman" w:cs="Times New Roman"/>
          <w:bCs/>
          <w:szCs w:val="24"/>
        </w:rPr>
        <w:t xml:space="preserve"> – </w:t>
      </w:r>
      <w:r w:rsidR="00D758EB">
        <w:rPr>
          <w:rStyle w:val="Fontepargpadro1"/>
          <w:rFonts w:ascii="Times New Roman" w:hAnsi="Times New Roman" w:cs="Times New Roman"/>
          <w:bCs/>
          <w:szCs w:val="24"/>
        </w:rPr>
        <w:t>M</w:t>
      </w:r>
      <w:r>
        <w:rPr>
          <w:rStyle w:val="Fontepargpadro1"/>
          <w:rFonts w:ascii="Times New Roman" w:hAnsi="Times New Roman" w:cs="Times New Roman"/>
          <w:bCs/>
          <w:szCs w:val="24"/>
        </w:rPr>
        <w:t xml:space="preserve">anutenção de elevadores, </w:t>
      </w:r>
      <w:r w:rsidR="00D758EB">
        <w:rPr>
          <w:rStyle w:val="Fontepargpadro1"/>
          <w:rFonts w:ascii="Times New Roman" w:hAnsi="Times New Roman" w:cs="Times New Roman"/>
          <w:bCs/>
          <w:szCs w:val="24"/>
        </w:rPr>
        <w:t>presente no</w:t>
      </w:r>
      <w:r>
        <w:rPr>
          <w:rStyle w:val="Fontepargpadro1"/>
          <w:rFonts w:ascii="Times New Roman" w:hAnsi="Times New Roman" w:cs="Times New Roman"/>
          <w:bCs/>
          <w:szCs w:val="24"/>
        </w:rPr>
        <w:t xml:space="preserve"> Plano de Gestão do Conselho Nacional do Ministério Público para o exerc</w:t>
      </w:r>
      <w:r w:rsidR="00D758EB">
        <w:rPr>
          <w:rStyle w:val="Fontepargpadro1"/>
          <w:rFonts w:ascii="Times New Roman" w:hAnsi="Times New Roman" w:cs="Times New Roman"/>
          <w:bCs/>
          <w:szCs w:val="24"/>
        </w:rPr>
        <w:t>ício de 2018</w:t>
      </w:r>
      <w:r>
        <w:rPr>
          <w:rStyle w:val="Fontepargpadro1"/>
          <w:rFonts w:ascii="Times New Roman" w:hAnsi="Times New Roman" w:cs="Times New Roman"/>
          <w:bCs/>
          <w:szCs w:val="24"/>
        </w:rPr>
        <w:t xml:space="preserve">, </w:t>
      </w:r>
      <w:r w:rsidR="00D758EB">
        <w:rPr>
          <w:rStyle w:val="Fontepargpadro1"/>
          <w:rFonts w:ascii="Times New Roman" w:hAnsi="Times New Roman" w:cs="Times New Roman"/>
          <w:bCs/>
          <w:szCs w:val="24"/>
        </w:rPr>
        <w:t>conforme Portaria CNMP-PRESI nº 157 de 20 de dezembro de 2017</w:t>
      </w:r>
      <w:r>
        <w:rPr>
          <w:rStyle w:val="Fontepargpadro1"/>
          <w:rFonts w:ascii="Times New Roman" w:hAnsi="Times New Roman" w:cs="Times New Roman"/>
          <w:bCs/>
          <w:szCs w:val="24"/>
        </w:rPr>
        <w:t>.</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 xml:space="preserve">A adequação do sistema de monitoramento de tráfego, gerenciado pelo software TKVISION, é necessária para fins de melhoria da eficiência operacional dos elevadores </w:t>
      </w:r>
      <w:r>
        <w:rPr>
          <w:rStyle w:val="Fontepargpadro1"/>
          <w:rFonts w:ascii="Times New Roman" w:hAnsi="Times New Roman" w:cs="Times New Roman"/>
          <w:bCs/>
          <w:szCs w:val="24"/>
        </w:rPr>
        <w:lastRenderedPageBreak/>
        <w:t>promovendo o consumo mais consciente da energia e oferecendo maior conforto aos usuários. Atualmente há uma limitação na programação do funcionamento dos elevadores, que impede a livre customização de quais elevadores devem trabalhar de forma conjunta (sistema “duplex” ou multi-carros) ou individual (modo “simplex”). Essa característica obriga os usuários acionarem dois elevadores ao invés de apenas um, situação que gera desperdício de energia e, em algumas situações, essa condição também aumenta do tempo de espera dos usuários. Portanto, apesar dos elevadores do CNMP já possuírem o sistema “duplex”, esse sistema está restrito aos elevadores social e de serviço, não podendo ser intercambiado também com o elevador privativo. Com a adequação técnica, dependendo da necessidade, qualquer configuração “simplex” ou “duplex” poderá ser definida com os três elevadores, garantindo de forma plena os benefícios proporcionados por essa tecnologia.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A execução dos serviços rotineiros de manutenção preventiva, preditiva e corretiva dos equipamentos com o fornecimento total de dispositivos, peças, componentes e acessórios originais é imprescindível para preservação e conservação das características de funcionamento, durabilidade e segurança dos elevadores que atendem os transportes vertical dos usuários do edifício da CONTRATANTE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De validação realizada no mercado e do resultado da análise do histórico de peças utilizadas ao longo de todo o período de vigência do contrato anterior, mostrou ser vantajoso a inclusão, nos serviços previstos neste Termo, do fornecimento total de dispositivos, peças, componentes e acessórios originais, de forma a possibilitar a imediata correção de defeitos e anormalidades das instalações e componentes do elevador, a fim de que seja retomada sua utilização o mais rápido possível, de forma segura, eficiente e econômica.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 xml:space="preserve">Destaca-se que acessibilidade física à edificação, tal como previsto na NBR 9050 - Acessibilidade a Edificações, Mobiliário, Espaços e Equipamentos Urbanos -  só é plenamente atendida mediante o funcionamento adequado dos elevadores, razão pela qual </w:t>
      </w:r>
      <w:r>
        <w:rPr>
          <w:rStyle w:val="Fontepargpadro1"/>
          <w:rFonts w:ascii="Times New Roman" w:hAnsi="Times New Roman" w:cs="Times New Roman"/>
          <w:bCs/>
          <w:szCs w:val="24"/>
        </w:rPr>
        <w:lastRenderedPageBreak/>
        <w:t>é imprescindível garantir a realização dos serviços de manutenção do dia a dia e garantir o restabelecimento dos equipamentos, em caso de necessidade, o mais rápido possível.</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bookmarkStart w:id="2" w:name="__RefNumPara__19093_1614366961"/>
      <w:bookmarkEnd w:id="2"/>
      <w:r>
        <w:rPr>
          <w:rFonts w:ascii="Times New Roman" w:hAnsi="Times New Roman" w:cs="Times New Roman"/>
          <w:bCs/>
          <w:szCs w:val="24"/>
        </w:rPr>
        <w:t>Da adjudicação por lote/global</w:t>
      </w:r>
    </w:p>
    <w:p w:rsidR="007A538C" w:rsidRDefault="00A16C4F">
      <w:pPr>
        <w:pStyle w:val="Corpodetexto"/>
        <w:numPr>
          <w:ilvl w:val="2"/>
          <w:numId w:val="24"/>
        </w:numPr>
        <w:tabs>
          <w:tab w:val="left" w:pos="-5051"/>
          <w:tab w:val="left" w:pos="-4342"/>
        </w:tabs>
        <w:autoSpaceDE/>
        <w:snapToGrid w:val="0"/>
        <w:spacing w:after="240" w:line="360" w:lineRule="auto"/>
        <w:jc w:val="both"/>
      </w:pPr>
      <w:r>
        <w:rPr>
          <w:rStyle w:val="Fontepargpadro1"/>
          <w:rFonts w:ascii="Times New Roman" w:hAnsi="Times New Roman" w:cs="Times New Roman"/>
          <w:bCs/>
          <w:szCs w:val="24"/>
        </w:rPr>
        <w:t>A aquisição por lote/global se justifica por se tratar da realização de manutenção em equipamentos de alta criticidade, com impactos diretos à segurança das pessoas, por compreender sistemas interdependentes (sistema de monitoramento de tráfego e elevadores) e devendo a empresa oferecer garantia a todos os serviços realizados, incluindo aqueles que envolvam a substituição de componentes. Com isso, a aquisição por lote/global apresenta clara vantajosidade técnica. Há também ganhos em economia de escala na aquisição por adjudicação por lote/global uma vez que os serviços e componentes a serem fornecidos dizem respeito a equipamentos de um único fabricante, tendo a licitante comprovar que está qualificada para realizar os serviços previstos. Isso possibilita que uma única empresa atenda a todos os requisitos, possibilitando a economia de escala sem implicar em restrição à competição, indo assim ao encontro da Súmula 247 do TCU.</w:t>
      </w:r>
    </w:p>
    <w:p w:rsidR="007A538C" w:rsidRDefault="00A16C4F">
      <w:pPr>
        <w:pStyle w:val="Corpodetexto"/>
        <w:numPr>
          <w:ilvl w:val="2"/>
          <w:numId w:val="24"/>
        </w:numPr>
        <w:tabs>
          <w:tab w:val="left" w:pos="-5051"/>
          <w:tab w:val="left" w:pos="-434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Em complemento, não é conveniente o desmembramento dos serviços de manutenção para diferentes empresas, visto que a licitação em conjunto visa atribuir a uma única empresa a responsabilidade pela qualidade do produto final, que são os equipamentos operando corretamente dentro dos padrões de segurança e qualidade exigidos pelo fabricante, compondo um produto final único. A contratação de manutenção por empresas diversas traria inegáveis prejuízos, dado a dificuldade em se perquirir quem deu causa a uma possível falha de funcionamento, bem como a influência no oferecimento da garantia dos serviços prestados instalações como um todo.</w:t>
      </w:r>
    </w:p>
    <w:p w:rsidR="007A538C" w:rsidRDefault="00A16C4F">
      <w:pPr>
        <w:pStyle w:val="Corpodetexto"/>
        <w:numPr>
          <w:ilvl w:val="2"/>
          <w:numId w:val="24"/>
        </w:numPr>
        <w:tabs>
          <w:tab w:val="left" w:pos="-5051"/>
          <w:tab w:val="left" w:pos="-4342"/>
        </w:tabs>
        <w:autoSpaceDE/>
        <w:snapToGrid w:val="0"/>
        <w:spacing w:after="240" w:line="360" w:lineRule="auto"/>
        <w:jc w:val="both"/>
      </w:pPr>
      <w:r>
        <w:rPr>
          <w:rFonts w:ascii="Times New Roman" w:hAnsi="Times New Roman" w:cs="Times New Roman"/>
          <w:bCs/>
          <w:szCs w:val="24"/>
        </w:rPr>
        <w:t>O TCU inclusive já teve a oportunidade de se manifestar no sentido de que a aquisição por lote único seria mais eficiente à administração:</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lastRenderedPageBreak/>
        <w:t xml:space="preserve">“(…) Cabe considerar, porém, que o modelo para a contratação parcelada adotado nesse parecer utilizou uma excessiva pulverização dos serviços. Para cada um de cinco prédios, previram-se vários contratos (ar condicionado, instalações elétricas e eletrônicas, instalações hidrossanitárias, civil). </w:t>
      </w:r>
      <w:r>
        <w:rPr>
          <w:rStyle w:val="Fontepargpadro1"/>
          <w:rFonts w:ascii="Times New Roman" w:hAnsi="Times New Roman" w:cs="Times New Roman"/>
          <w:b/>
          <w:bCs/>
          <w:szCs w:val="24"/>
        </w:rPr>
        <w:t>Esta exagerada divisão de objeto pode maximizar a influência de fatores que contribuem para tornar mais dispendiosa a contratação por especialidade.</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t xml:space="preserve">Por fim, cabem algumas considerações sobre o parcelamento do objeto contratual. O § 1º do art. 23 da Lei nº 8.666/93 estabelece a obrigatoriedade do parcelamento, em favor da competitividade das licitações, desde que satisfeitas algumas condições. </w:t>
      </w:r>
      <w:r>
        <w:rPr>
          <w:rStyle w:val="Fontepargpadro1"/>
          <w:rFonts w:ascii="Times New Roman" w:hAnsi="Times New Roman" w:cs="Times New Roman"/>
          <w:b/>
          <w:bCs/>
          <w:szCs w:val="24"/>
        </w:rPr>
        <w:t>Primeiro, deve haver viabilidade técnica e econômica para se proceder ao parcelamento. Além disso, o benefício à competição deve se dar sem que haja perda da economia de escala. Não é razoável admitir-se o parcelamento se dele resultar acréscimo no valor a ser contratado.</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Nesse sentido, “cabe ao administrador público que desejar licitar um objeto, sem esse parcelamento, de forma a adjudicá-lo por preço global, trazer aos autos do processo licitatório a comprovação de que o parcelamento seria inviável sob aqueles aspectos” (Licitações e Contratos – Orientações Básicas, 3ª Edição, Tribunal de Contas da União, Brasília, 2006).</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t>Dessa forma, a discussão acerca do parcelamento ou não do objeto deve sempre levar em consideração o interesse público, representado pela escolha da proposta mais vantajosa para a Administração. (…) “</w:t>
      </w:r>
      <w:r>
        <w:rPr>
          <w:rStyle w:val="Fontepargpadro1"/>
          <w:rFonts w:ascii="Times New Roman" w:hAnsi="Times New Roman" w:cs="Times New Roman"/>
          <w:b/>
          <w:bCs/>
          <w:szCs w:val="24"/>
        </w:rPr>
        <w:t xml:space="preserve">grifou-se </w:t>
      </w:r>
      <w:r>
        <w:rPr>
          <w:rStyle w:val="Fontepargpadro1"/>
          <w:rFonts w:ascii="Times New Roman" w:hAnsi="Times New Roman" w:cs="Times New Roman"/>
          <w:bCs/>
          <w:szCs w:val="24"/>
        </w:rPr>
        <w:t>(Acórdão n.º 3140/2006 do TCU – 1ª Câmara)</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 xml:space="preserve"> 2.6.4  No mesmo sentido, o TCU no Acórdão n.º732/2008 se manifestou no sentido de que “a questão da viabilidade do fracionamento deve ser decidida com base em cada caso, pois cada obra tem as suas especificidades, devendo o gestor decidir analisando qual a solução mais adequada no caso concreto”.</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t>A melhor doutrina já teve a oportunidade de ser manifestas no sentido do exposto. Em parecer, o professor Jorge Ulisses Jacoby Fernandes leciona:</w:t>
      </w:r>
    </w:p>
    <w:p w:rsidR="007A538C" w:rsidRDefault="00A16C4F">
      <w:pPr>
        <w:pStyle w:val="Corpodetexto"/>
        <w:tabs>
          <w:tab w:val="left" w:pos="709"/>
          <w:tab w:val="left" w:pos="1418"/>
        </w:tabs>
        <w:snapToGrid w:val="0"/>
        <w:spacing w:after="240" w:line="360" w:lineRule="auto"/>
        <w:jc w:val="both"/>
      </w:pPr>
      <w:r>
        <w:rPr>
          <w:rStyle w:val="Fontepargpadro1"/>
          <w:rFonts w:ascii="Times New Roman" w:hAnsi="Times New Roman" w:cs="Times New Roman"/>
          <w:bCs/>
          <w:szCs w:val="24"/>
        </w:rPr>
        <w:lastRenderedPageBreak/>
        <w:t xml:space="preserve">“Desse modo a regra do parcelamento deve ser coordenada com o requisito que a própria lei definiu: </w:t>
      </w:r>
      <w:r>
        <w:rPr>
          <w:rStyle w:val="Fontepargpadro1"/>
          <w:rFonts w:ascii="Times New Roman" w:hAnsi="Times New Roman" w:cs="Times New Roman"/>
          <w:b/>
          <w:bCs/>
          <w:szCs w:val="24"/>
        </w:rPr>
        <w:t>só se pode falar em parcelamento quando há viabilidade técnica para sua adoção.</w:t>
      </w:r>
      <w:r>
        <w:rPr>
          <w:rStyle w:val="Fontepargpadro1"/>
          <w:rFonts w:ascii="Times New Roman" w:hAnsi="Times New Roman" w:cs="Times New Roman"/>
          <w:bCs/>
          <w:szCs w:val="24"/>
        </w:rPr>
        <w:t xml:space="preserve"> (…) Nesse sentido, um exame atento dos tipos de objetos licitados pela Administração Pública evidencia que embora sejam divisíveis, há interesse técnico na manutenção da unicidade, da licitação ou do item da mesma. </w:t>
      </w:r>
      <w:r>
        <w:rPr>
          <w:rStyle w:val="Fontepargpadro1"/>
          <w:rFonts w:ascii="Times New Roman" w:hAnsi="Times New Roman" w:cs="Times New Roman"/>
          <w:b/>
          <w:bCs/>
          <w:szCs w:val="24"/>
        </w:rPr>
        <w:t>Não é pois a simples divisibilidade, mas a viabilidade técnica que dirige o processo decisório</w:t>
      </w:r>
      <w:r>
        <w:rPr>
          <w:rStyle w:val="Fontepargpadro1"/>
          <w:rFonts w:ascii="Times New Roman" w:hAnsi="Times New Roman" w:cs="Times New Roman"/>
          <w:bCs/>
          <w:szCs w:val="24"/>
        </w:rPr>
        <w:t xml:space="preserve">. Observa-se que, na aplicação dessa norma, até pela disposição dos requisitos fisicamente dispostos no seu conteúdo, a avaliação sob o aspecto técnico precede a avaliação sob o aspecto econômico. È a visão jurídica que se harmoniza com a lógica. </w:t>
      </w:r>
      <w:r>
        <w:rPr>
          <w:rStyle w:val="Fontepargpadro1"/>
          <w:rFonts w:ascii="Times New Roman" w:hAnsi="Times New Roman" w:cs="Times New Roman"/>
          <w:b/>
          <w:bCs/>
          <w:szCs w:val="24"/>
        </w:rPr>
        <w:t>Se um objeto, divisível, sob o aspecto econômico for mais vantajoso, mas houver inviabilidade técnica em que seja licitado em separado, de nada valerá a avaliação econômica.</w:t>
      </w:r>
      <w:r>
        <w:rPr>
          <w:rStyle w:val="Fontepargpadro1"/>
          <w:rFonts w:ascii="Times New Roman" w:hAnsi="Times New Roman" w:cs="Times New Roman"/>
          <w:bCs/>
          <w:szCs w:val="24"/>
        </w:rPr>
        <w:t xml:space="preserve"> Imagine-se ainda esse elementar exemplo do automóvel: se por exemplo as peças isoladamente custassem mais barato, mesmo assim, seria recomendável o não parcelamento, pois </w:t>
      </w:r>
      <w:r>
        <w:rPr>
          <w:rStyle w:val="Fontepargpadro1"/>
          <w:rFonts w:ascii="Times New Roman" w:hAnsi="Times New Roman" w:cs="Times New Roman"/>
          <w:b/>
          <w:bCs/>
          <w:szCs w:val="24"/>
        </w:rPr>
        <w:t>sob o aspecto técnico é a visão do conjunto que iria definir a garantia do fabricante, o ajuste das partes compondo todo único, orgânico e harmônico.</w:t>
      </w:r>
      <w:r>
        <w:rPr>
          <w:rStyle w:val="Fontepargpadro1"/>
          <w:rFonts w:ascii="Times New Roman" w:hAnsi="Times New Roman" w:cs="Times New Roman"/>
          <w:bCs/>
          <w:szCs w:val="24"/>
        </w:rPr>
        <w:t xml:space="preserve"> Por esse motivo, </w:t>
      </w:r>
      <w:r>
        <w:rPr>
          <w:rStyle w:val="Fontepargpadro1"/>
          <w:rFonts w:ascii="Times New Roman" w:hAnsi="Times New Roman" w:cs="Times New Roman"/>
          <w:b/>
          <w:bCs/>
          <w:szCs w:val="24"/>
        </w:rPr>
        <w:t>deve o bom administrador, primeiramente, avaliar se o objeto é divisível. Em caso afirmativo, o próximo passo será avaliar a conveniência técnica de que seja licitado inteiro ou dividido.”</w:t>
      </w:r>
      <w:r>
        <w:rPr>
          <w:rStyle w:val="Fontepargpadro1"/>
          <w:rFonts w:ascii="Times New Roman" w:hAnsi="Times New Roman" w:cs="Times New Roman"/>
          <w:bCs/>
          <w:szCs w:val="24"/>
        </w:rPr>
        <w:t xml:space="preserve"> (Parecer n.º2086/00, elaborado no Processo n.º194/2000 do TCDF – grifou-se).</w:t>
      </w:r>
    </w:p>
    <w:p w:rsidR="007A538C" w:rsidRDefault="00A16C4F">
      <w:pPr>
        <w:pStyle w:val="Corpodetexto"/>
        <w:tabs>
          <w:tab w:val="left" w:pos="709"/>
          <w:tab w:val="left" w:pos="1418"/>
        </w:tabs>
        <w:snapToGrid w:val="0"/>
        <w:spacing w:after="240" w:line="360" w:lineRule="auto"/>
        <w:jc w:val="both"/>
      </w:pPr>
      <w:r>
        <w:rPr>
          <w:rFonts w:ascii="Times New Roman" w:hAnsi="Times New Roman" w:cs="Times New Roman"/>
          <w:bCs/>
          <w:szCs w:val="24"/>
        </w:rPr>
        <w:t>2.6.5  Conclui-se então que é tecnicamente recomendável a adjudicação por preço global para a prestação dos serviços técnicos nas condições previstas neste Termo, visto que vai ao encontro da súmula 247, que permite adjudicação por preço global para evitar prejuízos para o conjunto ou perda de economia de escala.</w:t>
      </w: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Descrição do Objeto</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rsidR="007A538C" w:rsidRDefault="00A16C4F">
      <w:pPr>
        <w:pStyle w:val="Corpodetexto"/>
        <w:numPr>
          <w:ilvl w:val="2"/>
          <w:numId w:val="24"/>
        </w:numPr>
        <w:tabs>
          <w:tab w:val="left" w:pos="-5051"/>
          <w:tab w:val="left" w:pos="-434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ab/>
        <w:t xml:space="preserve">O quantitativo e as características dos elevadores objeto do presente </w:t>
      </w:r>
      <w:r>
        <w:rPr>
          <w:rFonts w:ascii="Times New Roman" w:hAnsi="Times New Roman" w:cs="Times New Roman"/>
          <w:bCs/>
          <w:szCs w:val="24"/>
        </w:rPr>
        <w:lastRenderedPageBreak/>
        <w:t>contrato estão abaixo descritas.</w:t>
      </w:r>
    </w:p>
    <w:p w:rsidR="007A538C" w:rsidRDefault="00A16C4F">
      <w:pPr>
        <w:pStyle w:val="Corpodetexto"/>
        <w:numPr>
          <w:ilvl w:val="3"/>
          <w:numId w:val="24"/>
        </w:numPr>
        <w:tabs>
          <w:tab w:val="left" w:pos="-6491"/>
          <w:tab w:val="left" w:pos="-5782"/>
          <w:tab w:val="left" w:pos="-540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Descrição dos Elevadores: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Quantitativo: 03 unidades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Velocidade de operação:  1,50 m/s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Paradas: 08</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Casa de máquinas: não possuem, os motores estão no topo das caixas dos elevadores</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Dotados de inversores de frequência e tensão (VVVF) e casa de máquinas sem engrenagens (tipo Gearless)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Destinação: Passageiros/serviço</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Fabricante:  ThyssenKrupp</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Linha: Frequencedyne</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Cabines: linha Export</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Capacidade: 12 passageiros ou 900kg</w:t>
      </w:r>
    </w:p>
    <w:p w:rsidR="007A538C" w:rsidRDefault="00A16C4F">
      <w:pPr>
        <w:pStyle w:val="Corpodetexto"/>
        <w:numPr>
          <w:ilvl w:val="3"/>
          <w:numId w:val="24"/>
        </w:numPr>
        <w:tabs>
          <w:tab w:val="left" w:pos="-6491"/>
          <w:tab w:val="left" w:pos="-5782"/>
          <w:tab w:val="left" w:pos="-540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Sistemas acessórios: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Intercomunicador com a portaria,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sistema de voz digitalizada,</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 xml:space="preserve"> sensores de obstáculos para fechamento das portas,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pPr>
      <w:r>
        <w:rPr>
          <w:rFonts w:ascii="Times New Roman" w:hAnsi="Times New Roman" w:cs="Times New Roman"/>
          <w:bCs/>
          <w:szCs w:val="24"/>
        </w:rPr>
        <w:t xml:space="preserve">ventilação das cabines inteligente e auto-ajustável </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pPr>
      <w:r>
        <w:rPr>
          <w:rStyle w:val="Fontepargpadro1"/>
          <w:rFonts w:ascii="Times New Roman" w:hAnsi="Times New Roman" w:cs="Times New Roman"/>
          <w:bCs/>
          <w:szCs w:val="24"/>
        </w:rPr>
        <w:t xml:space="preserve">Controlador de tráfego TKVISION dedicado ao gerenciamento do grupo de elevadores. Com as seguintes características.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Visualização de chamadas, posição, situação e principais sinais dos elevadores.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Habilitação e desabilitação das chamadas de pavimento.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Colocação do elevador no modo bombeiro.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lastRenderedPageBreak/>
        <w:t xml:space="preserve">Comando liga-desliga elevador.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Configuração do estacionamento.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Eliminação de chamadas falsas.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Programação horária de atendimento.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Análise estatística das chamadas dos elevadores.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 xml:space="preserve">Zoneamento de atendimento de chamadas de pavimento. </w:t>
      </w:r>
    </w:p>
    <w:p w:rsidR="007A538C" w:rsidRDefault="00A16C4F">
      <w:pPr>
        <w:pStyle w:val="Corpodetexto"/>
        <w:numPr>
          <w:ilvl w:val="5"/>
          <w:numId w:val="24"/>
        </w:numPr>
        <w:tabs>
          <w:tab w:val="left" w:pos="-9011"/>
          <w:tab w:val="left" w:pos="-8302"/>
          <w:tab w:val="left" w:pos="-7560"/>
        </w:tabs>
        <w:autoSpaceDE/>
        <w:snapToGrid w:val="0"/>
        <w:spacing w:after="240" w:line="100" w:lineRule="atLeast"/>
        <w:jc w:val="both"/>
      </w:pPr>
      <w:r>
        <w:rPr>
          <w:rStyle w:val="Fontepargpadro1"/>
          <w:rFonts w:ascii="Times New Roman" w:hAnsi="Times New Roman" w:cs="Times New Roman"/>
          <w:bCs/>
          <w:szCs w:val="24"/>
        </w:rPr>
        <w:t>Comando em Grupo.</w:t>
      </w:r>
    </w:p>
    <w:p w:rsidR="007A538C" w:rsidRDefault="00A16C4F">
      <w:pPr>
        <w:pStyle w:val="Corpodetexto"/>
        <w:numPr>
          <w:ilvl w:val="3"/>
          <w:numId w:val="24"/>
        </w:numPr>
        <w:tabs>
          <w:tab w:val="left" w:pos="-6491"/>
          <w:tab w:val="left" w:pos="-5782"/>
          <w:tab w:val="left" w:pos="-540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Descrição da Plataforma Elevatória Vertical:</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Quantitativo: 01 unidade</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Velocidade de operação:  6,0 m/min</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Paradas: 02 opostas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Destinação: Passageiros</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Fabricante:  ThyssenKrupp</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Linha: Easy Vertical</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Capacidade: 250kg</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Desnível vertical: 750mm</w:t>
      </w:r>
    </w:p>
    <w:p w:rsidR="007A538C" w:rsidRDefault="00A16C4F">
      <w:pPr>
        <w:pStyle w:val="Corpodetexto"/>
        <w:numPr>
          <w:ilvl w:val="4"/>
          <w:numId w:val="24"/>
        </w:numPr>
        <w:tabs>
          <w:tab w:val="left" w:pos="-7931"/>
          <w:tab w:val="left" w:pos="-7222"/>
          <w:tab w:val="left" w:pos="-6480"/>
        </w:tabs>
        <w:autoSpaceDE/>
        <w:snapToGrid w:val="0"/>
        <w:spacing w:after="240" w:line="100" w:lineRule="atLeast"/>
        <w:jc w:val="both"/>
        <w:rPr>
          <w:rFonts w:ascii="Times New Roman" w:hAnsi="Times New Roman" w:cs="Times New Roman"/>
          <w:bCs/>
          <w:szCs w:val="24"/>
        </w:rPr>
      </w:pPr>
      <w:r>
        <w:rPr>
          <w:rFonts w:ascii="Times New Roman" w:hAnsi="Times New Roman" w:cs="Times New Roman"/>
          <w:bCs/>
          <w:szCs w:val="24"/>
        </w:rPr>
        <w:t>Acionamento: Hidráulico Oleodinâmico (Relação 2:1)</w:t>
      </w:r>
    </w:p>
    <w:p w:rsidR="007A538C" w:rsidRDefault="00A16C4F">
      <w:pPr>
        <w:numPr>
          <w:ilvl w:val="0"/>
          <w:numId w:val="24"/>
        </w:numPr>
        <w:shd w:val="clear" w:color="auto" w:fill="B3B3B3"/>
        <w:autoSpaceDE/>
        <w:spacing w:line="100" w:lineRule="atLeast"/>
        <w:jc w:val="both"/>
      </w:pPr>
      <w:r>
        <w:rPr>
          <w:rFonts w:ascii="Times New Roman" w:hAnsi="Times New Roman" w:cs="Times New Roman"/>
          <w:b/>
          <w:bCs/>
        </w:rPr>
        <w:t>Do Local de Realização dos Serviços</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Os elevadores e a plataforma elevatória estão instalados no Edifício-Sede do CNMP, localizado no Setor de Administração Federal Sul, Quadra 2, Lote 3, em Brasília-DF, Edifício Adail Belmonte.</w:t>
      </w:r>
    </w:p>
    <w:p w:rsidR="007A538C" w:rsidRDefault="007A538C">
      <w:pPr>
        <w:pStyle w:val="Corpodetexto"/>
        <w:tabs>
          <w:tab w:val="left" w:pos="-371"/>
          <w:tab w:val="left" w:pos="338"/>
        </w:tabs>
        <w:snapToGrid w:val="0"/>
        <w:spacing w:after="240" w:line="360" w:lineRule="auto"/>
        <w:jc w:val="both"/>
        <w:rPr>
          <w:rFonts w:ascii="Times New Roman" w:hAnsi="Times New Roman" w:cs="Times New Roman"/>
          <w:bCs/>
          <w:szCs w:val="24"/>
        </w:rPr>
      </w:pPr>
    </w:p>
    <w:p w:rsidR="007A538C" w:rsidRDefault="00A16C4F">
      <w:pPr>
        <w:numPr>
          <w:ilvl w:val="0"/>
          <w:numId w:val="24"/>
        </w:numPr>
        <w:shd w:val="clear" w:color="auto" w:fill="B3B3B3"/>
        <w:autoSpaceDE/>
        <w:spacing w:line="100" w:lineRule="atLeast"/>
        <w:jc w:val="both"/>
      </w:pPr>
      <w:bookmarkStart w:id="3" w:name="__RefNumPara__25856_1614366961"/>
      <w:bookmarkEnd w:id="3"/>
      <w:r>
        <w:rPr>
          <w:rFonts w:ascii="Times New Roman" w:hAnsi="Times New Roman" w:cs="Times New Roman"/>
          <w:b/>
          <w:bCs/>
        </w:rPr>
        <w:lastRenderedPageBreak/>
        <w:t>Descrição dos Serviços</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MANUTENÇÃO é entendida como o conjunto de atividades técnico-administrativas, de natureza preventiva e corretiva, com vistas à preservação da vida útil, garantia do desempenho de funcionamento dos equipamentos previsto pelo fabricante, sem perda de suas características, da integridade e ponto ótimo de operação dos elevadores e do sistema de monitoramento de tráfego.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Fonts w:ascii="Times New Roman" w:hAnsi="Times New Roman" w:cs="Times New Roman"/>
          <w:bCs/>
          <w:szCs w:val="24"/>
        </w:rPr>
        <w:t>A CONTRATADA será responsável pela atualização do sistema de monitoramento de tráfego – TKVision e em realizar as adequações e configurações técnicas necessárias, bem como na manutenção do sistema, de modo a possibilitar a especificação de qualquer configuração de chamada em grupo, atribuindo-se o modo de operação individual ou em grupo combinando qualquer um dos três elevadores existentes e da maneira que melhor atenda as necessidades da CONTRATANTE de forma a otimizar o tráfego dos elevadores e reduzir custos operacionais.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A CONTRATADA fornecerá as máquinas, os equipamentos, os materiais, as peças, o transporte e tudo mais que for necessário para a execução e a conclusão dos serviços, sejam eles definitivos ou temporários. Os custos relativos a esses insumos deverão estar embutidos nos respectivos custos unitários.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bCs/>
          <w:szCs w:val="24"/>
        </w:rPr>
        <w:t xml:space="preserve">Os serviços objeto deste documento serão executados por equipe não residente disponibilizada pela CONTRATADA devendo esta obrigatoriamente obedecer aos requisitos de formação profissional dispostas no item </w:t>
      </w:r>
      <w:r>
        <w:rPr>
          <w:rStyle w:val="Fontepargpadro1"/>
          <w:rFonts w:ascii="Times New Roman" w:hAnsi="Times New Roman" w:cs="Times New Roman"/>
          <w:bCs/>
          <w:szCs w:val="24"/>
        </w:rPr>
        <w:fldChar w:fldCharType="begin"/>
      </w:r>
      <w:r>
        <w:rPr>
          <w:rStyle w:val="Fontepargpadro1"/>
          <w:rFonts w:ascii="Times New Roman" w:hAnsi="Times New Roman" w:cs="Times New Roman"/>
          <w:bCs/>
          <w:szCs w:val="24"/>
        </w:rPr>
        <w:instrText xml:space="preserve"> REF __RefNumPara__8134_1791947294 </w:instrText>
      </w:r>
      <w:r>
        <w:rPr>
          <w:rStyle w:val="Fontepargpadro1"/>
          <w:rFonts w:ascii="Times New Roman" w:hAnsi="Times New Roman" w:cs="Times New Roman"/>
          <w:bCs/>
          <w:szCs w:val="24"/>
        </w:rPr>
        <w:fldChar w:fldCharType="end"/>
      </w:r>
      <w:r>
        <w:rPr>
          <w:rStyle w:val="Fontepargpadro1"/>
          <w:rFonts w:ascii="Times New Roman" w:hAnsi="Times New Roman" w:cs="Times New Roman"/>
          <w:bCs/>
          <w:szCs w:val="24"/>
        </w:rPr>
        <w:t xml:space="preserve"> do presente documento.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Os serviços de manutenção preventiva e preditiva deverão ser realizados através de Visitas técnicas programadas as quais deverão ser previamente agendadas de acordo com o cronograma de manutenções preventivas.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bookmarkStart w:id="4" w:name="__RefNumPara__18077_1572757878"/>
      <w:bookmarkEnd w:id="4"/>
      <w:r>
        <w:rPr>
          <w:rStyle w:val="Fontepargpadro1"/>
          <w:rFonts w:ascii="Times New Roman" w:hAnsi="Times New Roman" w:cs="Times New Roman"/>
          <w:bCs/>
          <w:szCs w:val="24"/>
        </w:rPr>
        <w:t xml:space="preserve">Em cada visita realizada pela CONTRATADA, tanto para manutenção </w:t>
      </w:r>
      <w:r>
        <w:rPr>
          <w:rStyle w:val="Fontepargpadro1"/>
          <w:rFonts w:ascii="Times New Roman" w:hAnsi="Times New Roman" w:cs="Times New Roman"/>
          <w:bCs/>
          <w:szCs w:val="24"/>
        </w:rPr>
        <w:lastRenderedPageBreak/>
        <w:t xml:space="preserve">preventiva quanto corretiva, deverá ser elaborado um Boletim de Visita onde serão indicados os serviços realizados e a relação de peças eventualmente substituídas, além de outros registros pertinentes. Esse boletim deverá ser visado pela FISCALIZAÇÃO por ocasião da visita e compor a documentação que acompanha a fatura mensal dos serviços da CONTRATADA. No momento da visada, uma cópia do boletim será repassada à FISCALIZAÇÃO para ser anexada ao livro de ocorrências.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Por meio dos Chamados de Manutenção Corretiva e/ou de Emergência, realizados pela CONTRATANTE, serão efetuados os atendimentos das manutenções corretivas, restabelecimento do funcionamento de elevadores inoperantes, atendimentos a situações que comprometam a segurança dos usuários, com destaque ao resgate de passageiro(s) preso(s) no(s) elevador(es). </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hAnsi="Times New Roman" w:cs="Times New Roman"/>
          <w:bCs/>
          <w:szCs w:val="24"/>
        </w:rPr>
        <w:t xml:space="preserve">Para a abertura dos Chamados Corretivos e de Emergência, a CONTRATADA deverá disponibilizar os canais de comunicação previstos no item </w:t>
      </w:r>
      <w:r>
        <w:rPr>
          <w:rStyle w:val="Fontepargpadro1"/>
          <w:rFonts w:ascii="Times New Roman" w:hAnsi="Times New Roman" w:cs="Times New Roman"/>
          <w:bCs/>
          <w:szCs w:val="24"/>
        </w:rPr>
        <w:fldChar w:fldCharType="begin"/>
      </w:r>
      <w:r>
        <w:rPr>
          <w:rStyle w:val="Fontepargpadro1"/>
          <w:rFonts w:ascii="Times New Roman" w:hAnsi="Times New Roman" w:cs="Times New Roman"/>
          <w:bCs/>
          <w:szCs w:val="24"/>
        </w:rPr>
        <w:instrText xml:space="preserve"> REF __RefNumPara__8066_608261381 </w:instrText>
      </w:r>
      <w:r>
        <w:rPr>
          <w:rStyle w:val="Fontepargpadro1"/>
          <w:rFonts w:ascii="Times New Roman" w:hAnsi="Times New Roman" w:cs="Times New Roman"/>
          <w:bCs/>
          <w:szCs w:val="24"/>
        </w:rPr>
        <w:fldChar w:fldCharType="end"/>
      </w:r>
      <w:r>
        <w:rPr>
          <w:rStyle w:val="Fontepargpadro1"/>
          <w:rFonts w:ascii="Times New Roman" w:hAnsi="Times New Roman" w:cs="Times New Roman"/>
          <w:bCs/>
          <w:szCs w:val="24"/>
        </w:rPr>
        <w:t xml:space="preserve"> e deverão respeitar os prazos máximos d</w:t>
      </w:r>
      <w:r w:rsidR="00D345C4">
        <w:rPr>
          <w:rStyle w:val="Fontepargpadro1"/>
          <w:rFonts w:ascii="Times New Roman" w:hAnsi="Times New Roman" w:cs="Times New Roman"/>
          <w:bCs/>
          <w:szCs w:val="24"/>
        </w:rPr>
        <w:t>e atendimento previstos no item.</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bookmarkStart w:id="5" w:name="__RefNumPara__25973_1614366961"/>
      <w:bookmarkEnd w:id="5"/>
      <w:r>
        <w:rPr>
          <w:rStyle w:val="Fontepargpadro1"/>
          <w:rFonts w:ascii="Times New Roman" w:hAnsi="Times New Roman" w:cs="Times New Roman"/>
          <w:bCs/>
          <w:szCs w:val="24"/>
        </w:rPr>
        <w:t xml:space="preserve">A CONTRATADA, conforme necessidade da CONTRATANTE, deverá disponibilizar um técnico de elevador para acompanhar e monitorar a realização de serviços de terceiros no poço do elevador e demais partes e componentes da instalação do elevador, incluindo a cabine, como, por exemplo, para a realização de manutenção predial de rotina (pinturas, impermeabilizações, instalação de infraestrutra elétrica, TV, Rede Estruturada, CFTV, e reparos e melhorias diversas), bem como para assegurar o funcionamento contínuo e prestar resgates que porventura forem necessários nos elevadores durante a realização de eventos especiais do CNMP, tais como: Sessões Plenárias especiais, cerimônias, apresentações e reuniões de grande vulto.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A prestação do serviço que trata o Caput ocorrerá por demanda, reembolsável, mediante solicitação prévia realizada pela CONTRATANTE com no mínimo 2 dias de antecedência constando a devida autorização e contemplando o dia e o período em que </w:t>
      </w:r>
      <w:r>
        <w:rPr>
          <w:rStyle w:val="Fontepargpadro1"/>
          <w:rFonts w:ascii="Times New Roman" w:hAnsi="Times New Roman" w:cs="Times New Roman"/>
          <w:bCs/>
          <w:szCs w:val="24"/>
        </w:rPr>
        <w:lastRenderedPageBreak/>
        <w:t xml:space="preserve">a assistência de 4 (quatro) horas deverá ser prestada. Trata-se de serviço que consta da planilha de custos, com posterior pagamento mediante apresentação da referida fatura / nota fiscal. A previsão para o quantitativo apresentado no Anexo 1 está baseada na necessidade de manutenções rotineiras no sistema de CFTV e da Rede Estruturada a cada seis meses, isto é, duas por ano, e, também, outras duas para cobrir eventualidades não previstas e/ou  acompanhamento em eventos de grande porte.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O serviço de assistência será prestado em dias úteis e respeitando o horário comercial.</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CONTRATADA deverá executar os serviços de manutenção preventiva e preditiva respeitando o horário normal de expediente do CNMP, de segunda à sexta-feira, das 08h00 às 19h00.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Fora deste horário, ou dos dias explícitos, deverá ser autorizado pelo fiscal do Contrato, exceto quando se tratar da prestação de serviço de manutenções corretivas solicitadas pelo CONTRATANTE para o reparo dos elevadores que estejam parados, apresentarem risco de funcionamento, riscos de acidentes ou pessoas presas na cabine.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 CONTRATADA será responsável pela configuração do sistema de monitoramento de tráfego TKVISION, devendo atender eventuais chamados para sua configuração no prazo máximo de 1(um) dia útil.</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Os serviços de manutenção preventiva, corretiva e preditiva incluem a realização de checagens nos sistemas elétricos, eletrônicos e mecânicos, revisão, calibragem, verificação das condições operacionais dos equipamento, análises de logs de falhas, limpeza, verificação, customização e atualização do sistema de monitoramento de tráfego e ajustes para a melhoria da eficiência operacional, bem como orientações para operação normal e adequada dos equipamentos, cuidados com a segurança, e para o uso do sistema de monitoramento de tráfego.</w:t>
      </w:r>
    </w:p>
    <w:p w:rsidR="007A538C" w:rsidRDefault="00A16C4F">
      <w:pPr>
        <w:numPr>
          <w:ilvl w:val="1"/>
          <w:numId w:val="24"/>
        </w:numPr>
        <w:tabs>
          <w:tab w:val="left" w:pos="-3240"/>
          <w:tab w:val="left" w:pos="-2531"/>
          <w:tab w:val="left" w:pos="-1822"/>
        </w:tabs>
        <w:autoSpaceDE/>
        <w:snapToGrid w:val="0"/>
        <w:spacing w:after="240" w:line="360" w:lineRule="auto"/>
        <w:jc w:val="both"/>
      </w:pPr>
      <w:bookmarkStart w:id="6" w:name="__RefNumPara__7993_876341262"/>
      <w:bookmarkEnd w:id="6"/>
      <w:r>
        <w:rPr>
          <w:rFonts w:ascii="Times New Roman" w:eastAsia="Times New Roman" w:hAnsi="Times New Roman" w:cs="Times New Roman"/>
        </w:rPr>
        <w:lastRenderedPageBreak/>
        <w:t xml:space="preserve">  Estarão contemplados no valor da manutenção mensal, as peças e insumos especificados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__RefNumPara__12394_322609705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__RefNumPara__12394_322609705 </w:instrText>
      </w:r>
      <w:r>
        <w:rPr>
          <w:rFonts w:ascii="Times New Roman" w:eastAsia="Times New Roman" w:hAnsi="Times New Roman" w:cs="Times New Roman"/>
        </w:rPr>
        <w:fldChar w:fldCharType="end"/>
      </w:r>
      <w:r>
        <w:rPr>
          <w:rFonts w:ascii="Times New Roman" w:eastAsia="Times New Roman" w:hAnsi="Times New Roman" w:cs="Times New Roman"/>
        </w:rPr>
        <w:t>.</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7" w:name="__RefNumPara__12434_322609705"/>
      <w:bookmarkEnd w:id="7"/>
      <w:r>
        <w:rPr>
          <w:rFonts w:ascii="Times New Roman" w:eastAsia="Times New Roman" w:hAnsi="Times New Roman" w:cs="Times New Roman"/>
        </w:rPr>
        <w:t xml:space="preserve">Todas as peças e materiais a serem empregados nos serviços de manutenção, devem ser itens originais, recomendados pelo fabricante, de primeiro uso, não recondicionados, não remanufaturados, não reaproveitados e devem estar em perfeitas condições, reservando-se ao CONTRATANTE o direito de recusar qualquer material ou produto que apresentarem indícios de serem recondicionados ou reaproveitados.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8" w:name="__RefNumPara__12436_322609705"/>
      <w:bookmarkEnd w:id="8"/>
      <w:r>
        <w:rPr>
          <w:rFonts w:ascii="Times New Roman" w:eastAsia="Times New Roman" w:hAnsi="Times New Roman" w:cs="Times New Roman"/>
        </w:rPr>
        <w:t xml:space="preserve">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Nos equipamentos que se encontram em período de garantia, os serviços de reparos ou de manutenção corretiva somente poderão ser executados após a constatação de que o problema não decorre de defeito coberto pela garantia.</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Ficando constatado que o problema do equipamento decorre de defeito de fabricação, o CONTRATADA comunicará o fato ao CONTRATANTE no prazo máximo de 3 (três) dias úteis, não ultrapassando a data de término da garantia, mediante emissão de laudo técnico, a fim de que sejam tomadas as providências necessárias;</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Caso o CONTRATADA execute os serviços de manutenção corretiva nesses equipamentos e disto resulte a perda da garantia oferecida, a CONTRATADA assumirá, durante o período remanescente da garantia, todos os ônus a que atualmente está sujeito o fabricante do equipamento.</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 substituição de peças, equipamentos ou acessórios só poderá iniciar quando </w:t>
      </w:r>
      <w:r>
        <w:rPr>
          <w:rFonts w:ascii="Times New Roman" w:eastAsia="Times New Roman" w:hAnsi="Times New Roman" w:cs="Times New Roman"/>
        </w:rPr>
        <w:lastRenderedPageBreak/>
        <w:t>houver comunicação prévia à FISCALIZAÇÃO informando: profissionais envolvidos, relação de materiais, data e hora prevista;</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O descarte de peças, acessórios, equipamentos,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 CONTRATADA será responsável por executar e finalizar os serviços, iniciados durante o expediente normal, em finais de semana ou em horário noturno, nos casos em que as pendências prejudiquem atividades essenciais do CONTRATANTE. Nestes casos, a CONTRATADA deverá formalizar solicitação de autorização ao CONTRATANTE;</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9" w:name="__RefNumPara__8066_608261381"/>
      <w:bookmarkEnd w:id="9"/>
      <w:r>
        <w:rPr>
          <w:rFonts w:ascii="Times New Roman" w:eastAsia="Times New Roman" w:hAnsi="Times New Roman" w:cs="Times New Roman"/>
        </w:rPr>
        <w:t xml:space="preserve"> A CONTRATADA deverá disponibilizar serviço de abertura de chamados via telefone, com funcionamento de 24 (vinte e quatro) horas por dia, com emissão do respectivo protocolo de atendimento.</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Para abertura de chamados nos horários não comerciais, caso necessário, a CONTRATADA deverá disponibilizar um número de telefone específico para a CONTRATANTE solicitar o atendimento necessário.</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O contato telefônico deverá estar disponível por número local, 0800 ou ligação a cobrar.</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 Os chamados devem gerar o registro de protocolos ou ordens de serviços numeradas pela CONTRATADA, a serem entregues ao GESTOR DE CONTRATO comprovando os atendimentos, constando horário do chamado, breve descrição da falha do elevador e assinatura do técnico que atendeu ao chamado.</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10" w:name="__RefNumPara__8068_608261381"/>
      <w:bookmarkEnd w:id="10"/>
      <w:r>
        <w:rPr>
          <w:rFonts w:ascii="Times New Roman" w:eastAsia="Times New Roman" w:hAnsi="Times New Roman" w:cs="Times New Roman"/>
        </w:rPr>
        <w:lastRenderedPageBreak/>
        <w:t xml:space="preserve">Os Chamados Corretivos e/ou de Emergência deverão ser atendidos respeitando-se o tempo máximo estabelecido nos subitens abaixo: </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Resgate de passageiro(s) preso(s) no(s) elevador(es) –  Atendimento E</w:t>
      </w:r>
      <w:r w:rsidR="009912F4">
        <w:rPr>
          <w:rFonts w:ascii="Times New Roman" w:eastAsia="Times New Roman" w:hAnsi="Times New Roman" w:cs="Times New Roman"/>
        </w:rPr>
        <w:t>mergencial e Urgente – máximo 45</w:t>
      </w:r>
      <w:r>
        <w:rPr>
          <w:rFonts w:ascii="Times New Roman" w:eastAsia="Times New Roman" w:hAnsi="Times New Roman" w:cs="Times New Roman"/>
        </w:rPr>
        <w:t xml:space="preserve"> minutos, incluindo o deslocamento da equipe, a partir da abertura do chamado;</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Atendimento de manutenção emergencial, para os casos em que há elevador(es) inoperantes ou apresentando defeitos que afetem a segurança dos passageiros: máximo de 2 horas a partir da abertura do chamado, incluindo o deslocamento da equipe. Exceto os casos que, devidamente justificados pela CONTRATADA e autorizados pelo CONTRATANTE, demandarem mais tempo para serem resolvidos;</w:t>
      </w:r>
    </w:p>
    <w:p w:rsidR="007A538C" w:rsidRDefault="00A16C4F">
      <w:pPr>
        <w:numPr>
          <w:ilvl w:val="3"/>
          <w:numId w:val="24"/>
        </w:numPr>
        <w:tabs>
          <w:tab w:val="left" w:pos="-5400"/>
          <w:tab w:val="left" w:pos="-4691"/>
          <w:tab w:val="left" w:pos="-398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Entende-se como situações emergenciais aquelas decorrentes de ocorrências que possam ocasionar risco de paralisação das atividades, extensão de danos aos equipamentos, bem como risco de segurança pessoal ou patrimonial do CONTRATANTE.</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Atendimento de manutenção corretiva, para os defeitos que não prejudiquem a utilização e que não afetem a segurança dos passageiros: máximo de 6 horas a partir da abertura do chamado, incluindo o deslocamento da equipe. Exceto os casos que, devidamente justificados pela CONTRATADA e autorizados pelo CONTRATANTE, demandarem mais tempo para serem resolvidos;</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Manutenções corretivas e/ou emergenciais que req</w:t>
      </w:r>
      <w:r w:rsidR="009912F4">
        <w:rPr>
          <w:rFonts w:ascii="Times New Roman" w:eastAsia="Times New Roman" w:hAnsi="Times New Roman" w:cs="Times New Roman"/>
        </w:rPr>
        <w:t xml:space="preserve">ueiram o fornecimento de peças </w:t>
      </w:r>
      <w:r>
        <w:rPr>
          <w:rFonts w:ascii="Times New Roman" w:eastAsia="Times New Roman" w:hAnsi="Times New Roman" w:cs="Times New Roman"/>
        </w:rPr>
        <w:t xml:space="preserve">de responsabilidade da CONTRATADA, deverão ser finalizados em até </w:t>
      </w:r>
      <w:r w:rsidR="009912F4">
        <w:rPr>
          <w:rFonts w:ascii="Times New Roman" w:eastAsia="Times New Roman" w:hAnsi="Times New Roman" w:cs="Times New Roman"/>
        </w:rPr>
        <w:t>03 (três) dias úteis contado</w:t>
      </w:r>
      <w:r>
        <w:rPr>
          <w:rFonts w:ascii="Times New Roman" w:eastAsia="Times New Roman" w:hAnsi="Times New Roman" w:cs="Times New Roman"/>
        </w:rPr>
        <w:t xml:space="preserve">s do término do tempo máximo estabelecido para o atendimento do respectivo chamado. Exceto os casos que, devidamente justificados pela CONTRATADA e autorizados pelo CONTRATANTE, demandarem mais tempo para serem resolvidos;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Não será justificativa da não normalização do funcionamento dos equipamentos: imprudência, incompetência ou negligência da CONTRATADA; má conservação das ferramentas, equipamentos ou aparelhos de medição da CONTRATADA; falta de material de consumo; incapacidade em realizar testes e demais serviços relacionados.</w:t>
      </w:r>
    </w:p>
    <w:p w:rsidR="007A538C" w:rsidRDefault="00A16C4F">
      <w:pPr>
        <w:numPr>
          <w:ilvl w:val="1"/>
          <w:numId w:val="24"/>
        </w:numPr>
        <w:tabs>
          <w:tab w:val="left" w:pos="-3240"/>
          <w:tab w:val="left" w:pos="-2531"/>
          <w:tab w:val="left" w:pos="-1822"/>
        </w:tabs>
        <w:autoSpaceDE/>
        <w:snapToGrid w:val="0"/>
        <w:spacing w:after="240" w:line="360" w:lineRule="auto"/>
        <w:jc w:val="both"/>
      </w:pPr>
      <w:r>
        <w:rPr>
          <w:rFonts w:ascii="Times New Roman" w:eastAsia="Times New Roman" w:hAnsi="Times New Roman" w:cs="Times New Roman"/>
        </w:rPr>
        <w:t xml:space="preserve">O fato de os profissionais não terem conhecimento suficiente para a resolução de um problema específico do Objeto não será justificativa para o não cumprimento dos prazos máximos estipulados para regularização e a normalização do funcionamento do sistema, devendo, sempre que necessário, ser fornecido suporte técnico pelos responsáveis técnicos (engenheiros) conforme estabelecido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__RefNumPara__5056_876341262 </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Os serviços devem ser realizados por técnicos comprovadamente qualificados para a sua execução, utilizando-se ferramentas e equipamentos compatíveis com o tipo de aplicação, apresentando-se em perfeito estado de conservação e, quando aplicável, devidamente calibrados segundo padrões técnicos recomendados pelo Fabricante.</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bookmarkStart w:id="11" w:name="__RefNumPara__5056_876341262"/>
      <w:bookmarkEnd w:id="11"/>
      <w:r>
        <w:rPr>
          <w:rFonts w:ascii="Times New Roman" w:eastAsia="Times New Roman" w:hAnsi="Times New Roman" w:cs="Times New Roman"/>
        </w:rPr>
        <w:t xml:space="preserve">Quando acionado pela CONTRATANTE ou diante de situações que profissionalmente requeiram a presença do responsável técnico, como nos casos em que o técnico do elevador não for capaz de solucionar os problemas ocorridos, o engenheiro com a especialidade mais indicada, entre as previstas neste Termo, deverá realizar vistorias técnicas. </w:t>
      </w:r>
    </w:p>
    <w:p w:rsidR="007A538C" w:rsidRDefault="00A16C4F">
      <w:pPr>
        <w:numPr>
          <w:ilvl w:val="2"/>
          <w:numId w:val="24"/>
        </w:numPr>
        <w:tabs>
          <w:tab w:val="left" w:pos="-4320"/>
          <w:tab w:val="left" w:pos="-3611"/>
          <w:tab w:val="left" w:pos="-290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As visitas, quando solicitadas pela CONTRATANTE, deverão ser atendidas respeitando-se o limite máximo de 1 dia útil, podendo ser definido prazo maior conforme interesse da CONTRATANTE e agendamento entre as partes, </w:t>
      </w:r>
    </w:p>
    <w:p w:rsidR="007A538C" w:rsidRDefault="00A16C4F">
      <w:pPr>
        <w:numPr>
          <w:ilvl w:val="2"/>
          <w:numId w:val="24"/>
        </w:numPr>
        <w:tabs>
          <w:tab w:val="left" w:pos="-4320"/>
          <w:tab w:val="left" w:pos="-3611"/>
          <w:tab w:val="left" w:pos="-2902"/>
        </w:tabs>
        <w:autoSpaceDE/>
        <w:snapToGrid w:val="0"/>
        <w:spacing w:after="240" w:line="360" w:lineRule="auto"/>
        <w:jc w:val="both"/>
      </w:pPr>
      <w:r>
        <w:rPr>
          <w:rFonts w:ascii="Times New Roman" w:eastAsia="Times New Roman" w:hAnsi="Times New Roman" w:cs="Times New Roman"/>
        </w:rPr>
        <w:t xml:space="preserve">Para os casos em que os técnicos necessitarem suporte dos engenheiros na solução dos problemas, deverá ser respeitado o tempo máximo estabalecido para o atendimento dos chamados, conforme estabelecido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__RefNumPara__8068_608261381 </w:instrText>
      </w:r>
      <w:r>
        <w:rPr>
          <w:rFonts w:ascii="Times New Roman" w:eastAsia="Times New Roman" w:hAnsi="Times New Roman" w:cs="Times New Roman"/>
        </w:rPr>
        <w:fldChar w:fldCharType="end"/>
      </w:r>
      <w:r>
        <w:rPr>
          <w:rFonts w:ascii="Times New Roman" w:eastAsia="Times New Roman" w:hAnsi="Times New Roman" w:cs="Times New Roman"/>
        </w:rPr>
        <w:t xml:space="preserve">, salvo os casos que, devidamente justificados pela CONTRATADA e autorizados pelo CONTRATANTE, </w:t>
      </w:r>
      <w:r>
        <w:rPr>
          <w:rFonts w:ascii="Times New Roman" w:eastAsia="Times New Roman" w:hAnsi="Times New Roman" w:cs="Times New Roman"/>
        </w:rPr>
        <w:lastRenderedPageBreak/>
        <w:t xml:space="preserve">demandarem mais tempo para serem resolvidos    </w:t>
      </w:r>
    </w:p>
    <w:p w:rsidR="007A538C" w:rsidRDefault="00A16C4F">
      <w:pPr>
        <w:numPr>
          <w:ilvl w:val="1"/>
          <w:numId w:val="24"/>
        </w:numPr>
        <w:tabs>
          <w:tab w:val="left" w:pos="-3240"/>
          <w:tab w:val="left" w:pos="-2531"/>
          <w:tab w:val="left" w:pos="-1822"/>
        </w:tabs>
        <w:autoSpaceDE/>
        <w:snapToGrid w:val="0"/>
        <w:spacing w:after="240" w:line="360" w:lineRule="auto"/>
        <w:jc w:val="both"/>
        <w:rPr>
          <w:rFonts w:ascii="Times New Roman" w:eastAsia="Times New Roman" w:hAnsi="Times New Roman" w:cs="Times New Roman"/>
        </w:rPr>
      </w:pPr>
      <w:r>
        <w:rPr>
          <w:rFonts w:ascii="Times New Roman" w:eastAsia="Times New Roman" w:hAnsi="Times New Roman" w:cs="Times New Roman"/>
        </w:rPr>
        <w:t>Fica a CONTRATADA responsável pela reposição de material, item de acabamento ou equipamento danificado das instalações da CONTRATANTE em decorrência de imperícia na execução da manutenção.</w:t>
      </w:r>
    </w:p>
    <w:p w:rsidR="007A538C" w:rsidRDefault="00A16C4F">
      <w:pPr>
        <w:numPr>
          <w:ilvl w:val="2"/>
          <w:numId w:val="24"/>
        </w:numPr>
        <w:tabs>
          <w:tab w:val="left" w:pos="-4320"/>
          <w:tab w:val="left" w:pos="-3611"/>
          <w:tab w:val="left" w:pos="-2902"/>
        </w:tabs>
        <w:autoSpaceDE/>
        <w:snapToGrid w:val="0"/>
        <w:spacing w:after="240" w:line="360" w:lineRule="auto"/>
        <w:jc w:val="both"/>
      </w:pPr>
      <w:r>
        <w:rPr>
          <w:rFonts w:ascii="Times New Roman" w:eastAsia="Times New Roman" w:hAnsi="Times New Roman" w:cs="Times New Roman"/>
        </w:rPr>
        <w:t xml:space="preserve">Nos casos mais complexos, devidamente justificados, a CONTRATADA poderá subcontratar uma empresa ou profissional para a resolução do problema, mediante autorização prévia do CONTRATANTE, sendo que ônus da contratação ficará a cargo da CONTRATADA, devendo ser respeitado o limite estabelecido no item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__RefNumPara__13663_1614366961 </w:instrText>
      </w: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__RefNumPara__13663_1614366961 </w:instrText>
      </w:r>
      <w:r>
        <w:rPr>
          <w:rFonts w:ascii="Times New Roman" w:eastAsia="Times New Roman" w:hAnsi="Times New Roman" w:cs="Times New Roman"/>
        </w:rPr>
        <w:fldChar w:fldCharType="end"/>
      </w:r>
    </w:p>
    <w:p w:rsidR="007A538C" w:rsidRDefault="00A16C4F">
      <w:pPr>
        <w:numPr>
          <w:ilvl w:val="1"/>
          <w:numId w:val="24"/>
        </w:numPr>
        <w:tabs>
          <w:tab w:val="left" w:pos="-3240"/>
          <w:tab w:val="left" w:pos="-2531"/>
          <w:tab w:val="left" w:pos="-1822"/>
        </w:tabs>
        <w:autoSpaceDE/>
        <w:snapToGrid w:val="0"/>
        <w:spacing w:after="240" w:line="360" w:lineRule="auto"/>
        <w:jc w:val="both"/>
      </w:pPr>
      <w:r>
        <w:rPr>
          <w:rFonts w:ascii="Times New Roman" w:eastAsia="Times New Roman" w:hAnsi="Times New Roman" w:cs="Times New Roman"/>
        </w:rPr>
        <w:t xml:space="preserve"> A CONTRATADA deverá realizar as manutenções preditivas e preventivas segundo plano de manutenção definido pelo fabricante, fornecendo os insumos necessários e a mão de obra relacionada, bem como as ferramentas necessárias na realização dos trabalhos.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Os serviços prestados pela empresa CONTRATADA, nos elevadores, alcançam: máquina de tração, rolamentos, motor, freio, gerador, coletor e escovas, limitador de velocidade, painéis de comando, seletor, despacho, bobinas, relês, conjuntos eletrônicos, chaves, contatores, indicadores de pavimento nos andares e sua fiação, portas, microprocessador, sistema de monitoração de tráfego TKVISION, interface de operação, módulo de potência, cabos de aço, cabos elétricos, cabos de comando, aparelho seletor, fita seletora, pick-ups, cavaletes, polias de tração, desvio, esticadoras, limites, para-choques, guias, fixadores e tensores, armação de contrapeso, cabina, coxins, freio de segurança, carretilhas de portas, trincos, travas, garfos, rampas mecânicas e eletromagnéticas, operador elétrico, correias, correntes, cordoalhas, ventiladores, intercomunicadores, sistema de voz digitalizada, instalações elétricas associadas, sistema de iluminação, sistema de ventilação, sensores, controladores lógicos programáveis, poço, avisos e alertas obrigatórios ao usuário em relação aos cuidados com a segurança.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Fonts w:ascii="Times New Roman" w:hAnsi="Times New Roman" w:cs="Times New Roman"/>
          <w:bCs/>
          <w:szCs w:val="24"/>
        </w:rPr>
        <w:lastRenderedPageBreak/>
        <w:t xml:space="preserve">Serão de responsabilidade da CONTRATADA os serviços de substituição de peças e regulagem de componentes contempladas no item anterior e/ou aquelas que compõem os sistemas dos elevadores. Os serviços contemplam o fornecimento de materiais especificados no item </w:t>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__RefNumPara__12394_322609705 </w:instrText>
      </w:r>
      <w:r>
        <w:rPr>
          <w:rFonts w:ascii="Times New Roman" w:hAnsi="Times New Roman" w:cs="Times New Roman"/>
          <w:bCs/>
          <w:szCs w:val="24"/>
        </w:rPr>
        <w:fldChar w:fldCharType="end"/>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__RefNumPara__12394_322609705 </w:instrText>
      </w:r>
      <w:r>
        <w:rPr>
          <w:rFonts w:ascii="Times New Roman" w:hAnsi="Times New Roman" w:cs="Times New Roman"/>
          <w:bCs/>
          <w:szCs w:val="24"/>
        </w:rPr>
        <w:fldChar w:fldCharType="end"/>
      </w:r>
      <w:r>
        <w:rPr>
          <w:rFonts w:ascii="Times New Roman" w:hAnsi="Times New Roman" w:cs="Times New Roman"/>
          <w:bCs/>
          <w:szCs w:val="24"/>
        </w:rPr>
        <w:t>, tanto nas manutenções preventivas, preditivas quanto corretivas.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Para efeitos de serviços que requeiram interrupção de energia, a CONTRATADA é responsável pelo trecho a partir do quadro elétrico que alimenta os elevadores até o comando das máquinas dos elevadores. Fora deste ambiente, a CONTRATADA deve comunicar os procedimentos que se fazem necessários ao GESTOR DE CONTRATO, para que esse providencie a interrupção de energia no prédio por pessoal ou empresa devidamente habilitada.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Fonts w:ascii="Times New Roman" w:hAnsi="Times New Roman" w:cs="Times New Roman"/>
          <w:bCs/>
          <w:szCs w:val="24"/>
        </w:rPr>
        <w:t>Relatório Técnico Mensal: A CONTRATADA deverá apresentar ao gestor do contrato, com a Nota Fiscal/Fatura dos Serviços, relatório mensal assinado pelo responsável técnico pela condução dos serviços, informando o período de que trata a manutenção, os serviços preventivos e preditivos realizados no mês, com data, horário de início e de término, nome dos profissionais envolvidos, problemas detectados, providências tomadas (ou a serem tomadas), relação das ordens de serviço realizadas, data e hora do atendimento e profissional responsável, bem como relação de pendências, caso existam</w:t>
      </w:r>
      <w:r>
        <w:rPr>
          <w:rFonts w:ascii="Times New Roman" w:hAnsi="Times New Roman" w:cs="Times New Roman"/>
          <w:bCs/>
          <w:szCs w:val="24"/>
          <w:shd w:val="clear" w:color="auto" w:fill="EEEEEE"/>
        </w:rPr>
        <w:t xml:space="preserve">.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Relatório de Avaliação Técnica: Nos primeiros 30 (trinta) dias corridos do início da prestação dos serviços autorizados pelo CONTRATANTE, e posteriormente, anualmente, por ocasião da prorrogação do contrato, a CONTRATADA deverá enviar o Relatório de Avaliação Técnica ao fiscal do contrato, informando: estado de funcionamento, operacionalidade e integridade dos dispositivos de segurança e de emergência, da máquina e mecanismo de controle, dos cabos e suspensão e do regulador, e de outras peças presentes na instalação dos elevadores; relação de equipamentos ou materiais a serem repostos; cronograma para execução ou estudo das pendências. O </w:t>
      </w:r>
      <w:r>
        <w:rPr>
          <w:rFonts w:ascii="Times New Roman" w:hAnsi="Times New Roman" w:cs="Times New Roman"/>
          <w:bCs/>
          <w:szCs w:val="24"/>
        </w:rPr>
        <w:lastRenderedPageBreak/>
        <w:t>relatório deve informar ainda a relação dos componentes dos equipamentos com sua localização, nome do fabricante, modelo, nº de série, tipo, capacidade, tensão, corrente nominal e outros dados que se fizerem necessários à perfeita identificação dos equipamentos e/ou componentes.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Fonts w:ascii="Times New Roman" w:hAnsi="Times New Roman" w:cs="Times New Roman"/>
          <w:bCs/>
          <w:szCs w:val="24"/>
        </w:rPr>
        <w:t>DA MANUTENÇÃO PREVENTIVA / PREDITIVA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hAnsi="Times New Roman" w:cs="Times New Roman"/>
          <w:bCs/>
          <w:szCs w:val="24"/>
        </w:rPr>
        <w:t xml:space="preserve">A manutenção será executada com base no PLANO DE MANUTENÇÃO PREVENTIVA / PREDITIVA – item </w:t>
      </w:r>
      <w:r>
        <w:rPr>
          <w:rStyle w:val="Fontepargpadro1"/>
          <w:rFonts w:ascii="Times New Roman" w:hAnsi="Times New Roman" w:cs="Times New Roman"/>
          <w:bCs/>
          <w:szCs w:val="24"/>
        </w:rPr>
        <w:fldChar w:fldCharType="begin"/>
      </w:r>
      <w:r>
        <w:rPr>
          <w:rStyle w:val="Fontepargpadro1"/>
          <w:rFonts w:ascii="Times New Roman" w:hAnsi="Times New Roman" w:cs="Times New Roman"/>
          <w:bCs/>
          <w:szCs w:val="24"/>
        </w:rPr>
        <w:instrText xml:space="preserve"> REF __RefNumPara__12394_3226097051 </w:instrText>
      </w:r>
      <w:r>
        <w:rPr>
          <w:rStyle w:val="Fontepargpadro1"/>
          <w:rFonts w:ascii="Times New Roman" w:hAnsi="Times New Roman" w:cs="Times New Roman"/>
          <w:bCs/>
          <w:szCs w:val="24"/>
        </w:rPr>
        <w:fldChar w:fldCharType="end"/>
      </w:r>
      <w:r>
        <w:rPr>
          <w:rStyle w:val="Fontepargpadro1"/>
          <w:rFonts w:ascii="Times New Roman" w:hAnsi="Times New Roman" w:cs="Times New Roman"/>
          <w:bCs/>
          <w:szCs w:val="24"/>
        </w:rPr>
        <w:t xml:space="preserve"> Termo de Referência e nas prescrições dos fabricantes, em consonância com as orientações e demandas do gestor do contrato e a própria experiência da CONTRATADA no ramo.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Caso o engenheiro responsável técnico da CONTRATADA julgar necessárias alterações ou complementações nas rotinas de manutenção, para o funcionamento seguro e eficiente dos elevadores e do sistema de monitoramento de tráfego, deverá submeter o assunto ao gestor do contrato com prévia antecedência.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O PLANO DE MANUTENÇÃO PREVENTIVA / PREDITIVA poderá ser alterado a qualquer tempo pelo CNMP, que poderá modificar as rotinas e a periodicidade dos serviços, bastando comunicar à CONTRATADA por escrito, a qual terá o prazo máximo de 5 (cinco) dias úteis para promover os acertos necessários.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A responsabilidade da CONTRATADA se estende à limpeza do poço dos elevadores.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DA MANUTENÇÃO CORRETIVA</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pPr>
      <w:r>
        <w:rPr>
          <w:rFonts w:ascii="Times New Roman" w:hAnsi="Times New Roman" w:cs="Times New Roman"/>
          <w:bCs/>
          <w:szCs w:val="24"/>
        </w:rPr>
        <w:t xml:space="preserve">Realizar os serviços de manutenção corretiva, de forma a manter os elevadores em perfeito funcionamento, minimizando o tempo de parada, respeitando o tempo máximo estabelecido no item </w:t>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__RefNumPara__8068_608261381 </w:instrText>
      </w:r>
      <w:r>
        <w:rPr>
          <w:rFonts w:ascii="Times New Roman" w:hAnsi="Times New Roman" w:cs="Times New Roman"/>
          <w:bCs/>
          <w:szCs w:val="24"/>
        </w:rPr>
        <w:fldChar w:fldCharType="end"/>
      </w:r>
      <w:r>
        <w:rPr>
          <w:rFonts w:ascii="Times New Roman" w:hAnsi="Times New Roman" w:cs="Times New Roman"/>
          <w:bCs/>
          <w:szCs w:val="24"/>
        </w:rPr>
        <w:t>.</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 xml:space="preserve">É necessária prévia autorização do gestor do contrato para remoção de qualquer </w:t>
      </w:r>
      <w:r>
        <w:rPr>
          <w:rFonts w:ascii="Times New Roman" w:hAnsi="Times New Roman" w:cs="Times New Roman"/>
          <w:bCs/>
          <w:szCs w:val="24"/>
        </w:rPr>
        <w:lastRenderedPageBreak/>
        <w:t>peça que necessite ser enviada para conserto em oficinas. As despesas com a retirada, a remessa, a devolução e a posterior reinstalação da(s) peça(s) correrão por conta da CONTRATADA.</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Nas peças que se encontrem em período de garantia, os serviços de manutenção corretiva somente poderão ser executados após a constatação de que o problema não decorre de defeito coberto pela garantia.</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bookmarkStart w:id="12" w:name="__RefNumPara__7945_876341262"/>
      <w:bookmarkEnd w:id="12"/>
      <w:r>
        <w:rPr>
          <w:rFonts w:ascii="Times New Roman" w:hAnsi="Times New Roman" w:cs="Times New Roman"/>
          <w:bCs/>
          <w:szCs w:val="24"/>
        </w:rPr>
        <w:t>Ficando constatado que o problema da peça sob garantia decorre de defeito de fabricação, a CONTRATADA comunicará o fato ao CONTRATANTE no prazo de 24 (vinte e quatro) horas, mediante emissão de laudo técnico, assinado pelo engenheiro mecânico responsável técnico e/ou pelo engenheiro mecânico vinculado à empresa responsável pela condução dos serviços, a fim de que sejam tomadas as providências necessárias.</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pPr>
      <w:r>
        <w:rPr>
          <w:rFonts w:ascii="Times New Roman" w:hAnsi="Times New Roman" w:cs="Times New Roman"/>
          <w:bCs/>
          <w:szCs w:val="24"/>
        </w:rPr>
        <w:t xml:space="preserve">Caso a CONTRATADA execute os serviços a que se refere o item </w:t>
      </w:r>
      <w:r>
        <w:rPr>
          <w:rFonts w:ascii="Times New Roman" w:hAnsi="Times New Roman" w:cs="Times New Roman"/>
          <w:bCs/>
          <w:szCs w:val="24"/>
        </w:rPr>
        <w:fldChar w:fldCharType="begin"/>
      </w:r>
      <w:r>
        <w:rPr>
          <w:rFonts w:ascii="Times New Roman" w:hAnsi="Times New Roman" w:cs="Times New Roman"/>
          <w:bCs/>
          <w:szCs w:val="24"/>
        </w:rPr>
        <w:instrText xml:space="preserve"> REF __RefNumPara__7945_876341262 </w:instrText>
      </w:r>
      <w:r>
        <w:rPr>
          <w:rFonts w:ascii="Times New Roman" w:hAnsi="Times New Roman" w:cs="Times New Roman"/>
          <w:bCs/>
          <w:szCs w:val="24"/>
        </w:rPr>
        <w:fldChar w:fldCharType="end"/>
      </w:r>
      <w:r>
        <w:rPr>
          <w:rFonts w:ascii="Times New Roman" w:hAnsi="Times New Roman" w:cs="Times New Roman"/>
          <w:bCs/>
          <w:szCs w:val="24"/>
        </w:rPr>
        <w:t xml:space="preserve"> e disto resulte a perda da garantia oferecida, ela assumirá durante o período remanescente da garantia o ônus a que atualmente está sujeito o fabricante e o fornecedor da peça.</w:t>
      </w:r>
    </w:p>
    <w:p w:rsidR="007A538C" w:rsidRDefault="00A16C4F">
      <w:pPr>
        <w:pStyle w:val="Corpodetexto"/>
        <w:numPr>
          <w:ilvl w:val="2"/>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Durante o prazo de garantia das peças será atribuída à CONTRATADA a responsabilidade por eventuais procedimentos ou omissões que contribuam para a extinção da garantia determinada pelo fabricante e/ou fornecedor.</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rPr>
          <w:rFonts w:ascii="Times New Roman" w:hAnsi="Times New Roman" w:cs="Times New Roman"/>
          <w:bCs/>
          <w:szCs w:val="24"/>
        </w:rPr>
      </w:pPr>
      <w:r>
        <w:rPr>
          <w:rFonts w:ascii="Times New Roman" w:hAnsi="Times New Roman" w:cs="Times New Roman"/>
          <w:bCs/>
          <w:szCs w:val="24"/>
        </w:rPr>
        <w:t>Responsabilizar-se pelos serviços de enrolamento do motor do ventilador da cabina e do motor de operador de porta do elevador, quando necessário. Estes serviços deverão ser executados em oficina especializada sem nenhum ônus adicional para o CONTRATANTE.</w:t>
      </w:r>
    </w:p>
    <w:p w:rsidR="007A538C" w:rsidRDefault="00A16C4F">
      <w:pPr>
        <w:pStyle w:val="Corpodetexto"/>
        <w:numPr>
          <w:ilvl w:val="1"/>
          <w:numId w:val="24"/>
        </w:numPr>
        <w:tabs>
          <w:tab w:val="left" w:pos="0"/>
          <w:tab w:val="left" w:pos="1047"/>
          <w:tab w:val="left" w:pos="1756"/>
        </w:tabs>
        <w:autoSpaceDE/>
        <w:snapToGrid w:val="0"/>
        <w:spacing w:after="240" w:line="360" w:lineRule="auto"/>
        <w:ind w:left="1418"/>
        <w:jc w:val="both"/>
      </w:pPr>
      <w:r>
        <w:rPr>
          <w:rFonts w:ascii="Times New Roman" w:hAnsi="Times New Roman" w:cs="Times New Roman"/>
          <w:bCs/>
          <w:szCs w:val="24"/>
        </w:rPr>
        <w:t>Responsabilizar-se pelos serviços de encurtamento de cabos quando necessário, reparos nas fiações elétricas em geral e serviços de substituição ou reparos em cabos de manobra.</w:t>
      </w:r>
    </w:p>
    <w:p w:rsidR="007A538C" w:rsidRDefault="00A16C4F">
      <w:pPr>
        <w:numPr>
          <w:ilvl w:val="0"/>
          <w:numId w:val="24"/>
        </w:numPr>
        <w:shd w:val="clear" w:color="auto" w:fill="B3B3B3"/>
        <w:autoSpaceDE/>
        <w:spacing w:line="100" w:lineRule="atLeast"/>
        <w:jc w:val="both"/>
      </w:pPr>
      <w:bookmarkStart w:id="13" w:name="__RefNumPara__8134_1791947294"/>
      <w:bookmarkEnd w:id="13"/>
      <w:r>
        <w:rPr>
          <w:rFonts w:ascii="Times New Roman" w:hAnsi="Times New Roman" w:cs="Times New Roman"/>
          <w:b/>
          <w:bCs/>
        </w:rPr>
        <w:lastRenderedPageBreak/>
        <w:t>Equipe de Trabalho Mínima</w:t>
      </w:r>
    </w:p>
    <w:p w:rsidR="007A538C" w:rsidRDefault="007A538C">
      <w:pPr>
        <w:pStyle w:val="Corpodetexto"/>
        <w:tabs>
          <w:tab w:val="left" w:pos="709"/>
          <w:tab w:val="left" w:pos="1418"/>
        </w:tabs>
        <w:snapToGrid w:val="0"/>
        <w:spacing w:after="240" w:line="360" w:lineRule="auto"/>
        <w:jc w:val="both"/>
        <w:rPr>
          <w:rFonts w:ascii="Times New Roman" w:hAnsi="Times New Roman" w:cs="Times New Roman"/>
          <w:bCs/>
          <w:szCs w:val="24"/>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Para fins de execução dos serviços descritos, a CONTRATADA disponibilizará de seu quadro quantitativo suficiente de recursos humanos, no mínimo, nas categorias profissionais constantes abaixo: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Técnico(s) em Eletromecânica / Eletrônica ou Equivalente: Profissional com curso técnico específico em manutenção de elevadores, com certificado de capacitação, para os equipamentos a serem manutenidos, com registro no CREA e experiência em suas respectivas áreas comprovada na carteira de trabalho;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Profissional supervisor de mecânica: Profissional (is) formado(s) em Engenharia Mecânica, com cursos específicos em manutenção de elevadores, com certificado de capacitação em equipamentos equivalentes aos existentes no CNMP, com registro no CREA e experiência em suas respectivas áreas comprovada na carteira de trabalho e comprovada mediante Certidão de Acervo Técnico. O(s) Engenheiro(s) Mecânico(s) será (ão) o(s) coordenador (es) dos trabalhos. Deverá (ão) realizar uma visita mensal de no mínimo 02 (duas) horas de duração, durante o horário de expediente do CONTRATANTE, e sempre que solicitado pela CONTRATANTE ou quando o profissional técnico de manutenção não for capaz de solucionar os problemas existentes. Deverá (ão) apresentar o Relatório de Supervisão Mensal na visita mensal.</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Profissional supervisor de elétrica: Profissional (is) formado(s) em Engenharia Elétrica ou Eletrônica, com cursos em controle e gerenciamento eletrônico e circuitos elétricos, com certificado de capacitação em equipamentos equivalentes aos existentes no CNMP, com registro no CREA, e experiência em suas respectivas áreas comprovada na carteira de trabalho e comprovada mediante Certidão de Acervo Técnico. Deverá (ão) realizar uma visita mensal de no mínimo 02 (duas) horas de duração, durante o horário de expediente do CONTRATANTE, e sempre que o profissional técnico de manutenção não for capaz de solucionar os problemas </w:t>
      </w:r>
      <w:r>
        <w:rPr>
          <w:rFonts w:ascii="Times New Roman" w:hAnsi="Times New Roman" w:cs="Times New Roman"/>
          <w:bCs/>
          <w:szCs w:val="24"/>
        </w:rPr>
        <w:lastRenderedPageBreak/>
        <w:t>existentes, devendo auxiliar na coordenação dos trabalhos, referente à parte elétrica, eletrônica, de controle e gerenciamento, e realizará  atividades relacionadas ao suporte técnico para a manutenção, reparo, configuração e atualização do sistema de monitoramento de tráfego TK Vision, (incluindo hardware/ reinstalação e configuração do software e comunicação das máquinas até o terminal de controle).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Após a assinatura do contrato, a CONTRATADA deverá apresentar ao gestor do contrato: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Certidão de Acervo Técnico emitida pelo CREA ou comprovação registrada em Carteira de Trabalho ou Contrato de Trabalho de todos os profissionais alocados na realização dos serviços no CNMP. Os engenheiros vinculados à empresa responsável pela condução dos serviços deverão possuir, no mínimo, experiência e capacitação em manutenção de elevadores equivalente ao objeto do procedimento licitatório, comprovada mediante Certidão de Acervo Técnico emitida pelo CREA.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Apresentar o cadastro da Anotação de Responsabilidade Técnica - A.R.T. realizado junto ao Conselho Regional de Engenharia, Arquitetura e Agronomia do Distrito Federal – CREA/DF para a apreciação e aprovação por parte da CONTRATANTE, em até 10 (dez) dias úteis contados do recebimento da ordem de serviço de início do contrato.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rPr>
          <w:rFonts w:ascii="Times New Roman" w:hAnsi="Times New Roman" w:cs="Times New Roman"/>
          <w:bCs/>
          <w:szCs w:val="24"/>
        </w:rPr>
      </w:pPr>
      <w:r>
        <w:rPr>
          <w:rFonts w:ascii="Times New Roman" w:hAnsi="Times New Roman" w:cs="Times New Roman"/>
          <w:bCs/>
          <w:szCs w:val="24"/>
        </w:rPr>
        <w:t xml:space="preserve">Após a aprovação pelo gestor do contrato do cadastro da A.R.T. a CONTRATADA deverá efetivar seu registro junto ao CREA/DF do contrato assinado, sem nenhum ônus adicional para o CNMP, entregando 1 (uma) cópia ao gestor do contrato, no prazo máximo de 5 (cinco) dias úteis contados da data do pagamento junto ao CREA/DF.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Fonts w:ascii="Times New Roman" w:hAnsi="Times New Roman" w:cs="Times New Roman"/>
          <w:bCs/>
          <w:szCs w:val="24"/>
        </w:rPr>
        <w:t xml:space="preserve">Apresentar no início do contrato, e sempre que houver alteração, a relação nominal com os dados pessoais (nome completo, filiação, data de nascimento, RG e CPF) dos profissionais que prestarão os serviços de manutenção nas instalações da </w:t>
      </w:r>
      <w:r>
        <w:rPr>
          <w:rFonts w:ascii="Times New Roman" w:hAnsi="Times New Roman" w:cs="Times New Roman"/>
          <w:bCs/>
          <w:szCs w:val="24"/>
        </w:rPr>
        <w:lastRenderedPageBreak/>
        <w:t xml:space="preserve">CONTRATANTE, no prazo máximo de 5 (cinco) dias úteis contados da data do recebimento da ordem de serviço de início do contrato. </w:t>
      </w:r>
    </w:p>
    <w:p w:rsidR="007A538C" w:rsidRDefault="00A16C4F">
      <w:pPr>
        <w:pStyle w:val="western"/>
        <w:numPr>
          <w:ilvl w:val="0"/>
          <w:numId w:val="24"/>
        </w:numPr>
        <w:shd w:val="clear" w:color="auto" w:fill="CCCCCC"/>
        <w:tabs>
          <w:tab w:val="left" w:pos="0"/>
        </w:tabs>
        <w:spacing w:before="0" w:after="0"/>
        <w:ind w:left="425" w:right="0" w:hanging="450"/>
      </w:pPr>
      <w:bookmarkStart w:id="14" w:name="__RefNumPara__12394_322609705"/>
      <w:bookmarkEnd w:id="14"/>
      <w:r>
        <w:rPr>
          <w:rFonts w:cs="Times New Roman"/>
          <w:b/>
        </w:rPr>
        <w:t>Do Fornecimento de Equipamentos, Componentes Peças e Materiais</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 A CONTRATADA assumirá a responsabilidade e o ônus pelo fornecimento total de dispositivos, peças, componentes e acessórios originais necessários para a realização das manutenções preventivas, preditivas e corretivas, funcionamento e as adequações necessárias no sistema de monitoramento de tráfego, bem como os materiais de consumo nos serviços necessários à limpeza (previstas nos procedimentos de manutenção), à conservação e à operação dos elevadores, cuja manutenção seja objeto deste Termo de Referência.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 xml:space="preserve">De forma geral, entende-se como dispositivos, peças, componentes e acessórios: Alto-falantes; Amortecedores; Armação de contrapeso; Avisos, etiquetas e alertas obrigatórios ao usuário em relação aos cuidados com a segurança; Bandejas; Barras de portas; Base tripolar seccionadora; Bobinas; Botões e botoeiras; Cabo de manobra; Cabos blindados; Cabos de aço; Cabos de aterramento; Cabos de comando; Cabos elétricos; Calhas; Capacitores; Carenagens; Carretilhas de portas; Cavaletes; Célula de carga; Chumbador de cabo; Circuitos integrados; Clips e acessórios de ancoragem; Coletores; Componentes dos quadros de comando; Conjunto de fixações; Conjuntos de frenagem; Conjuntos eletrônicos; Contatores; Contatos elétricos; Contrapeso; Controlador de tráfego; Controladores lógicos programáveis; Cordoalhas; Corrediça; Correias; Correntes; Coxins; Contrapesos; Disjuntores; Digvox e acessórios; Dispositivos de segurança; Distanciadores; Espaçadores; Esticadores; filtro trifásico; Fita de aço; Fita seletora; Fixadores e tensores; Flat cable para MCO/DAG EXPERT FII; Fontes de alimentação; Freio de segurança; Fusível ultra rápido; Grades; Guias; Indicadores de pavimento nos andares e sua fiação; Intercomunicadores (Viva-Voz); Interface de operação; Inversores; Limitador de </w:t>
      </w:r>
      <w:r>
        <w:rPr>
          <w:rStyle w:val="Fontepargpadro1"/>
          <w:rFonts w:ascii="Times New Roman" w:eastAsia="Arial" w:hAnsi="Times New Roman" w:cs="Times New Roman"/>
          <w:bCs/>
          <w:szCs w:val="24"/>
        </w:rPr>
        <w:lastRenderedPageBreak/>
        <w:t xml:space="preserve">velocidade; Limitadores; Limites; Máquina GEARLESS; Memória Eprom; Microprocessadores; Módulos de potência; Módulos diversos; Molas; Motores; Painéis de comando; Para-choques; Peças em acrílico; Perfis; Polia de cabina; Polia de desvio; Polia Tensora; Presilhas; Puxadores; Rabichos diversos; Rampas mecânicas e eletromagnéticas; Relês; Rolamentos; Seletores; Sensores; Sistema de iluminação - LED; Sistema de ventilação; Sistema de voz digitalizada; Suportes; Termostato; Tirantes; Tomadas; Trincos; Unidade IGBT; Ventiladores; Visores.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bookmarkStart w:id="15" w:name="__RefNumPara__12392_322609705"/>
      <w:bookmarkEnd w:id="15"/>
      <w:r>
        <w:rPr>
          <w:rStyle w:val="Fontepargpadro1"/>
          <w:rFonts w:ascii="Times New Roman" w:eastAsia="Arial" w:hAnsi="Times New Roman" w:cs="Times New Roman"/>
          <w:bCs/>
          <w:szCs w:val="24"/>
        </w:rPr>
        <w:t xml:space="preserve">Entende-se por materiais de consumo aqueles necessários à realização das manutenções preventiva e corretiva, observadas as recomendações dos fabricantes e normas técnicas e legais em vigor, tais como: abraçadeiras metálicas, abraçadeiras de nylon, parafusos, rebites, arruelas, contatos auxiliares, desengraxantes, detergentes neutros, estopas, etiquetas adesivas, fitas de alta fusão, fitas isolantes, fusíveis de baixa amperagem, graxas amarelas, óleos lubrificantes para partes em geral (inclusive da caixa redutora), panos, silicone, terminais elétrico a compressão, vassouras e pá para limpeza.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Todos os materiais e peças a serem empregados nos serviços deverão ser novos, comprovadamente de primeira qualidade, e estar de acordo com as especificações do fabricante, devendo os componentes específicos e exclusivos dos elevadores serem sempre peças originais do fabricante, devendo ser submetidos à prévia aprovação da FISCALIZAÇÃO.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bCs/>
          <w:szCs w:val="24"/>
        </w:rPr>
        <w:t xml:space="preserve">Se julgar necessário, a FISCALIZAÇÃO poderá solicitar à CONTRATADA a apresentação de informação, por escrito, dos locais de origem dos materiais e peças ou de certificados de ensaios relativos aos mesmos, comprovando a qualidade dos materiais e peças empregados nos serviços.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A CONTRATADA deverá manter estoque regular dos materiais de consumo que atenda às necessidades mensais dos serviços de manutenção e garanta o atendimento do </w:t>
      </w:r>
      <w:r>
        <w:rPr>
          <w:rStyle w:val="Fontepargpadro1"/>
          <w:rFonts w:ascii="Times New Roman" w:eastAsia="Arial" w:hAnsi="Times New Roman" w:cs="Times New Roman"/>
          <w:bCs/>
          <w:szCs w:val="24"/>
        </w:rPr>
        <w:lastRenderedPageBreak/>
        <w:t xml:space="preserve">nível de serviço especificado no item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__RefNumPara__8068_608261381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 xml:space="preserve">.Os casos excepcionais de falta de material, que demandarem mais tempo, deverão ser devidamente justificados pela CONTRATADA e autorizados pelo CONTRATANTE.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A CONTRATADA deverá fornecer, sem ônus para a CONTRATANTE, e em perfeitas condições de uso, todos os equipamentos, ferramentas, componentes, produtos, aparelhos de medições e testes indispensáveis à execução dos serviços solicitados, sejam eles definitivos ou temporários, assumindo toda a responsabilidade pelo transporte, carga, descarga, armazenagem e guarda dos mesmos;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A CONTRATADA deverá apresentar ao fiscal do Contrato, em até 5 (cinco) dias úteis contados da data do recebimento da ordem de serviço de início do contrato, a relação dos equipamentos de proteção individual (EPI) e de proteção coletiva (EPC), de acordo com a necessidade dos serviços prestados, devidamente assinada pelo responsável técnico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Conforme previsto no item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__RefNumPara__18077_1572757878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 xml:space="preserve">, em cada visita realizada pela CONTRATADA, tanto para manutenção preventiva quanto corretiva, deverá ser elaborado um Boletim de Visita onde serão indicados os serviços realizados e a relação de peças eventualmente substituídas, além de outros registros pertinentes.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Todas as peças a serem substituídas deverão atender as especificações contidas nos itens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__RefNumPara__12434_322609705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 xml:space="preserve"> e </w:t>
      </w:r>
      <w:r>
        <w:rPr>
          <w:rStyle w:val="Fontepargpadro1"/>
          <w:rFonts w:ascii="Times New Roman" w:eastAsia="Arial" w:hAnsi="Times New Roman" w:cs="Times New Roman"/>
          <w:bCs/>
          <w:szCs w:val="24"/>
        </w:rPr>
        <w:fldChar w:fldCharType="begin"/>
      </w:r>
      <w:r>
        <w:rPr>
          <w:rStyle w:val="Fontepargpadro1"/>
          <w:rFonts w:ascii="Times New Roman" w:eastAsia="Arial" w:hAnsi="Times New Roman" w:cs="Times New Roman"/>
          <w:bCs/>
          <w:szCs w:val="24"/>
        </w:rPr>
        <w:instrText xml:space="preserve"> REF __RefNumPara__12436_322609705 </w:instrText>
      </w:r>
      <w:r>
        <w:rPr>
          <w:rStyle w:val="Fontepargpadro1"/>
          <w:rFonts w:ascii="Times New Roman" w:eastAsia="Arial" w:hAnsi="Times New Roman" w:cs="Times New Roman"/>
          <w:bCs/>
          <w:szCs w:val="24"/>
        </w:rPr>
        <w:fldChar w:fldCharType="end"/>
      </w:r>
      <w:r>
        <w:rPr>
          <w:rStyle w:val="Fontepargpadro1"/>
          <w:rFonts w:ascii="Times New Roman" w:eastAsia="Arial" w:hAnsi="Times New Roman" w:cs="Times New Roman"/>
          <w:bCs/>
          <w:szCs w:val="24"/>
        </w:rPr>
        <w:t>.</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Não fazem parte da cobertura as seguintes peças e componentes: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Passadiço e poço, circuitos para alimentação do quadro de força que alimenta as máquinas e respectivos dispositivos de proteção desse quadro, instalações de para-raios, janelas, sistema de ventilação ou exaustão forçada, extintor de incêndio, alvenaria e pinturas;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lastRenderedPageBreak/>
        <w:t>Todos cuja substituição seja necessária face à ocorrência de atos de vandalismo ou de incêndio, desde que esse último não tenha sido originado por falha na manutenção dos elevadores.</w:t>
      </w:r>
    </w:p>
    <w:p w:rsidR="007A538C" w:rsidRDefault="00A16C4F">
      <w:pPr>
        <w:pStyle w:val="western"/>
        <w:numPr>
          <w:ilvl w:val="0"/>
          <w:numId w:val="24"/>
        </w:numPr>
        <w:shd w:val="clear" w:color="auto" w:fill="CCCCCC"/>
        <w:tabs>
          <w:tab w:val="left" w:pos="0"/>
        </w:tabs>
        <w:spacing w:before="0" w:after="0"/>
        <w:ind w:left="425" w:right="0" w:hanging="450"/>
      </w:pPr>
      <w:bookmarkStart w:id="16" w:name="__RefNumPara__13663_1614366961"/>
      <w:bookmarkEnd w:id="16"/>
      <w:r>
        <w:rPr>
          <w:rFonts w:cs="Times New Roman"/>
          <w:b/>
        </w:rPr>
        <w:t xml:space="preserve">Da Subcontratação </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 É permitida a subcontratação parcial do objeto até o limite máximo de 20% do valor total dos serviços especificados no contrato.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A subcontratação se aplica aos casos mais complexos, devidamente justificados, em que exista a necessidade de se subcontratar uma empresa ou profissional para a resolução do problema, mediante autorização prévia do CONTRATANTE, sendo que ônus da contratação ficará a cargo da CONTRATADA.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bCs/>
          <w:szCs w:val="24"/>
        </w:rPr>
        <w:t>É vedada a subcontratação para a realização dos serviços mensais de natureza preventiva e preditiva.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É vedada a sub-rogação completa ou da parcela principal da obrigação. </w:t>
      </w:r>
    </w:p>
    <w:p w:rsidR="007A538C" w:rsidRDefault="00A16C4F">
      <w:pPr>
        <w:pStyle w:val="western"/>
        <w:numPr>
          <w:ilvl w:val="0"/>
          <w:numId w:val="24"/>
        </w:numPr>
        <w:shd w:val="clear" w:color="auto" w:fill="CCCCCC"/>
        <w:tabs>
          <w:tab w:val="left" w:pos="0"/>
        </w:tabs>
        <w:spacing w:before="0" w:after="0"/>
        <w:ind w:left="425" w:right="0" w:hanging="450"/>
      </w:pPr>
      <w:bookmarkStart w:id="17" w:name="__RefNumPara__12394_3226097051"/>
      <w:bookmarkEnd w:id="17"/>
      <w:r>
        <w:rPr>
          <w:rFonts w:cs="Times New Roman"/>
          <w:b/>
        </w:rPr>
        <w:t>Do Plano de Manutenção PREVENTIVA / PREDITIVA</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 xml:space="preserve"> A Tabela abaixo apresenta as rotinas mínimas de manutenção preventiva/preditiva com suas respectivas periodicidades. </w:t>
      </w:r>
    </w:p>
    <w:tbl>
      <w:tblPr>
        <w:tblW w:w="2875" w:type="dxa"/>
        <w:tblInd w:w="2439" w:type="dxa"/>
        <w:tblLayout w:type="fixed"/>
        <w:tblCellMar>
          <w:left w:w="10" w:type="dxa"/>
          <w:right w:w="10" w:type="dxa"/>
        </w:tblCellMar>
        <w:tblLook w:val="0000" w:firstRow="0" w:lastRow="0" w:firstColumn="0" w:lastColumn="0" w:noHBand="0" w:noVBand="0"/>
      </w:tblPr>
      <w:tblGrid>
        <w:gridCol w:w="698"/>
        <w:gridCol w:w="2177"/>
      </w:tblGrid>
      <w:tr w:rsidR="007A538C">
        <w:tc>
          <w:tcPr>
            <w:tcW w:w="698" w:type="dxa"/>
            <w:tcBorders>
              <w:top w:val="single" w:sz="2" w:space="0" w:color="000000"/>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M</w:t>
            </w:r>
          </w:p>
        </w:tc>
        <w:tc>
          <w:tcPr>
            <w:tcW w:w="217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Mensal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B</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Bimestral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T</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Trimestral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Q</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Quadrimestral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S</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Semestral</w:t>
            </w:r>
          </w:p>
        </w:tc>
      </w:tr>
      <w:tr w:rsidR="007A538C">
        <w:tc>
          <w:tcPr>
            <w:tcW w:w="698" w:type="dxa"/>
            <w:tcBorders>
              <w:left w:val="single" w:sz="2" w:space="0" w:color="000000"/>
              <w:bottom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center"/>
              <w:rPr>
                <w:rFonts w:ascii="Times New Roman" w:eastAsia="Times New Roman" w:hAnsi="Times New Roman" w:cs="Times New Roman"/>
                <w:lang w:eastAsia="ar-SA" w:bidi="ar-SA"/>
              </w:rPr>
            </w:pPr>
            <w:r>
              <w:rPr>
                <w:rFonts w:ascii="Times New Roman" w:eastAsia="Times New Roman" w:hAnsi="Times New Roman" w:cs="Times New Roman"/>
                <w:lang w:eastAsia="ar-SA" w:bidi="ar-SA"/>
              </w:rPr>
              <w:t>A</w:t>
            </w:r>
          </w:p>
        </w:tc>
        <w:tc>
          <w:tcPr>
            <w:tcW w:w="217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7A538C" w:rsidRDefault="00A16C4F">
            <w:pPr>
              <w:snapToGrid w:val="0"/>
              <w:spacing w:line="360" w:lineRule="auto"/>
              <w:jc w:val="both"/>
            </w:pPr>
            <w:r>
              <w:rPr>
                <w:rFonts w:ascii="Times New Roman" w:eastAsia="Times New Roman" w:hAnsi="Times New Roman" w:cs="Times New Roman"/>
                <w:lang w:eastAsia="ar-SA" w:bidi="ar-SA"/>
              </w:rPr>
              <w:t>Anual</w:t>
            </w:r>
          </w:p>
        </w:tc>
      </w:tr>
    </w:tbl>
    <w:p w:rsidR="007A538C" w:rsidRDefault="007A538C">
      <w:pPr>
        <w:spacing w:line="360" w:lineRule="auto"/>
        <w:ind w:firstLine="1417"/>
        <w:jc w:val="both"/>
        <w:rPr>
          <w:rFonts w:ascii="Times New Roman" w:hAnsi="Times New Roman"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515"/>
        <w:gridCol w:w="7110"/>
        <w:gridCol w:w="435"/>
        <w:gridCol w:w="497"/>
      </w:tblGrid>
      <w:tr w:rsidR="007A538C">
        <w:trPr>
          <w:trHeight w:val="311"/>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lastRenderedPageBreak/>
              <w:t>Equipamento</w:t>
            </w:r>
          </w:p>
        </w:tc>
        <w:tc>
          <w:tcPr>
            <w:tcW w:w="7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r>
      <w:tr w:rsidR="007A538C">
        <w:trPr>
          <w:trHeight w:hRule="exact" w:val="364"/>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snapToGrid w:val="0"/>
              <w:spacing w:line="200" w:lineRule="atLeast"/>
              <w:jc w:val="center"/>
              <w:rPr>
                <w:rFonts w:ascii="Times New Roman" w:hAnsi="Times New Roman" w:cs="Times New Roman"/>
              </w:rPr>
            </w:pPr>
          </w:p>
          <w:p w:rsidR="007A538C" w:rsidRDefault="00A16C4F">
            <w:pPr>
              <w:snapToGrid w:val="0"/>
              <w:spacing w:line="200" w:lineRule="atLeast"/>
              <w:jc w:val="center"/>
              <w:rPr>
                <w:rFonts w:ascii="Times New Roman" w:hAnsi="Times New Roman" w:cs="Times New Roman"/>
              </w:rPr>
            </w:pPr>
            <w:r>
              <w:rPr>
                <w:rFonts w:ascii="Times New Roman" w:hAnsi="Times New Roman" w:cs="Times New Roman"/>
              </w:rPr>
              <w:t>Cabina (Interior)</w:t>
            </w: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do painel de operação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do interfone ou intercomunicador na cabina e portaria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limpeza das lâmpadas, fixação e limpeza do sub-teto e funcionamento e limpeza do ventilador</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integridade dos painéis de acabamento, frisos e piso, inclusive as placas indicativas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integridade do guarda corpo e espelho (fixação, quebra, riscos, amassados e falta de parafusos)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portas, corrediças e réguas de segurança (funcionamento, fixação, quebra, alinhamento, folgas, ajustes, ruídos e limpeza)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integridade e funcionamento do indicador (quebrado, setas, segmentos ou lâmpadas queimadas)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dos comandos cabineiro, ventilador e banqueta (manual/automático, comando de lotado)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1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Inspecionar a existência de vibrações e/ou ruídos anormais quando há movimentação da cabina.</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pStyle w:val="Corpodetexto"/>
        <w:spacing w:after="0" w:line="360" w:lineRule="auto"/>
        <w:ind w:firstLine="1417"/>
        <w:rPr>
          <w:rFonts w:ascii="Times New Roman" w:hAnsi="Times New Roman" w:cs="Times New Roman"/>
          <w:szCs w:val="24"/>
        </w:rPr>
      </w:pPr>
    </w:p>
    <w:tbl>
      <w:tblPr>
        <w:tblW w:w="9557" w:type="dxa"/>
        <w:tblInd w:w="55" w:type="dxa"/>
        <w:tblLayout w:type="fixed"/>
        <w:tblCellMar>
          <w:left w:w="10" w:type="dxa"/>
          <w:right w:w="10" w:type="dxa"/>
        </w:tblCellMar>
        <w:tblLook w:val="0000" w:firstRow="0" w:lastRow="0" w:firstColumn="0" w:lastColumn="0" w:noHBand="0" w:noVBand="0"/>
      </w:tblPr>
      <w:tblGrid>
        <w:gridCol w:w="1515"/>
        <w:gridCol w:w="7095"/>
        <w:gridCol w:w="435"/>
        <w:gridCol w:w="512"/>
      </w:tblGrid>
      <w:tr w:rsidR="007A538C">
        <w:trPr>
          <w:trHeight w:val="311"/>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70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5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rPr>
                <w:rFonts w:ascii="Times New Roman" w:hAnsi="Times New Roman" w:cs="Times New Roman"/>
              </w:rPr>
            </w:pPr>
            <w:r>
              <w:rPr>
                <w:rFonts w:ascii="Times New Roman" w:hAnsi="Times New Roman" w:cs="Times New Roman"/>
              </w:rPr>
              <w:t>Pavimento</w:t>
            </w: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das botoeiras e indicadores (quebrado, mal afixado, funcionamento das setas, segmentos e lâmpadas)</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das portas e soleiras (fixação e amassados, ferragens, borrachas de marco, ilhós e puxadores, limpeza e lubrificação)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364"/>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70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aceleração, desaceleração e nivelamento</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500"/>
        <w:gridCol w:w="6706"/>
        <w:gridCol w:w="429"/>
        <w:gridCol w:w="430"/>
        <w:gridCol w:w="492"/>
      </w:tblGrid>
      <w:tr w:rsidR="007A538C">
        <w:trPr>
          <w:trHeight w:val="311"/>
          <w:tblHeader/>
        </w:trPr>
        <w:tc>
          <w:tcPr>
            <w:tcW w:w="15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6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c>
          <w:tcPr>
            <w:tcW w:w="4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364"/>
        </w:trPr>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snapToGrid w:val="0"/>
              <w:spacing w:line="200" w:lineRule="atLeast"/>
              <w:jc w:val="center"/>
              <w:rPr>
                <w:rFonts w:ascii="Times New Roman" w:hAnsi="Times New Roman" w:cs="Times New Roman"/>
              </w:rPr>
            </w:pPr>
          </w:p>
          <w:p w:rsidR="007A538C" w:rsidRDefault="00A16C4F">
            <w:pPr>
              <w:snapToGrid w:val="0"/>
              <w:spacing w:line="200" w:lineRule="atLeast"/>
              <w:jc w:val="center"/>
            </w:pPr>
            <w:r>
              <w:rPr>
                <w:rFonts w:ascii="Times New Roman" w:hAnsi="Times New Roman" w:cs="Times New Roman"/>
              </w:rPr>
              <w:t>Máquina</w:t>
            </w:r>
          </w:p>
          <w:p w:rsidR="007A538C" w:rsidRDefault="007A538C">
            <w:pPr>
              <w:snapToGrid w:val="0"/>
              <w:spacing w:line="200" w:lineRule="atLeast"/>
              <w:jc w:val="cente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Limpar o topo das caixas dos elevadores onde se localizam as máquinas</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1123"/>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proteções e conexões (Painel de força, reaperto geral, chaves de força, chave disjuntora, condições dos fusíveis do quadro de comandos, estado e isolamento dos condutores, aquecimento anormal, oxidação e limpeza das conexões, funcionamento mecânico)</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 xml:space="preserve">Verificar quadro de comando (reapertar fiações em geral, verificar desgaste das contatoras, chaves controladoras quanto à regulagem, pressão, integridade, desgaste e alinhamento dos contatos, fixação dos relés, módulos eletrônicos, conexões das chaves, temporizadores, relés, circuitos de proteção, transformadores, </w:t>
            </w:r>
            <w:r>
              <w:rPr>
                <w:rFonts w:ascii="Times New Roman" w:hAnsi="Times New Roman" w:cs="Times New Roman"/>
                <w:i/>
                <w:iCs/>
              </w:rPr>
              <w:t>leds</w:t>
            </w:r>
            <w:r>
              <w:rPr>
                <w:rFonts w:ascii="Times New Roman" w:hAnsi="Times New Roman" w:cs="Times New Roman"/>
              </w:rPr>
              <w:t xml:space="preserve"> de monitoração dos comandos microprocessados, retirar excesso de poeira com pincel)</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1376"/>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máquina e cabos de tração (nível do óleo da máquina, vazamentos em vedações, nível de óleo no coletor, retentor, ruídos e desgaste de rolamentos ou buchas e coroa/sem-fim e acoplamentos, existência de limalha de ferro e degaste na polia, arames rompidos nos cabos, limpeza)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870"/>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motor (desgastes e ruídos nos acoplamentos do motor, limpeza, verificar temperatura de funcionamento e parâmetros de funcionamento)</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do interfone ou intercomunicador (cabina, portaria e casa de máquinas)</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364"/>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 final de subida e limite final de descida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364"/>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aparelho de segurança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617"/>
        </w:trPr>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unidade hidráulica (vazamentos, conexões elétricas e mecânicas, nível do óleo e funcionamento da válvula de emergência)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70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trocador de calor (funcionamento, vazamentos e limpeza)</w:t>
            </w:r>
          </w:p>
        </w:tc>
        <w:tc>
          <w:tcPr>
            <w:tcW w:w="4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A16C4F">
      <w:pPr>
        <w:tabs>
          <w:tab w:val="left" w:pos="561"/>
          <w:tab w:val="left" w:pos="1122"/>
          <w:tab w:val="center" w:pos="5340"/>
          <w:tab w:val="right" w:pos="9759"/>
        </w:tabs>
        <w:spacing w:line="360" w:lineRule="auto"/>
        <w:ind w:firstLine="1417"/>
        <w:jc w:val="both"/>
      </w:pPr>
      <w:r>
        <w:rPr>
          <w:rFonts w:ascii="Times New Roman" w:eastAsia="Times New Roman" w:hAnsi="Times New Roman" w:cs="Times New Roman"/>
          <w:lang w:eastAsia="ar-SA" w:bidi="ar-SA"/>
        </w:rPr>
        <w:t xml:space="preserve"> </w:t>
      </w:r>
    </w:p>
    <w:tbl>
      <w:tblPr>
        <w:tblW w:w="9557" w:type="dxa"/>
        <w:tblInd w:w="55" w:type="dxa"/>
        <w:tblLayout w:type="fixed"/>
        <w:tblCellMar>
          <w:left w:w="10" w:type="dxa"/>
          <w:right w:w="10" w:type="dxa"/>
        </w:tblCellMar>
        <w:tblLook w:val="0000" w:firstRow="0" w:lastRow="0" w:firstColumn="0" w:lastColumn="0" w:noHBand="0" w:noVBand="0"/>
      </w:tblPr>
      <w:tblGrid>
        <w:gridCol w:w="1515"/>
        <w:gridCol w:w="6525"/>
        <w:gridCol w:w="510"/>
        <w:gridCol w:w="480"/>
        <w:gridCol w:w="527"/>
      </w:tblGrid>
      <w:tr w:rsidR="007A538C">
        <w:trPr>
          <w:trHeight w:val="311"/>
          <w:tblHeader/>
        </w:trPr>
        <w:tc>
          <w:tcPr>
            <w:tcW w:w="1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6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5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515"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pPr>
            <w:r>
              <w:rPr>
                <w:rFonts w:ascii="Times New Roman" w:hAnsi="Times New Roman" w:cs="Times New Roman"/>
              </w:rPr>
              <w:t>Cabina (Em cima)</w:t>
            </w: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aparelho de segurança (estado dos componentes, acionamento do contato elétrico manualmente)</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1234"/>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corrediças superiores, estado das corrediças, desgaste dos nylons e folga entre a guia, lubrificar e limpar graxeiras, fixação de elementos.</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1376"/>
        </w:trPr>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operador de portas (tensão e desgaste da corrente, correia e cabo de aço, desgaste dos roletes do carrinho, funcionamento e folga dos microrruptores, fixação do motor, tampa e ajuste do freio magnético, ajusta caixa de came, roletes, freio do motor operador e tensionamento dos cabos)</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51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5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Limpar teto e estrutura</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tbl>
      <w:tblPr>
        <w:tblW w:w="9536" w:type="dxa"/>
        <w:tblInd w:w="55" w:type="dxa"/>
        <w:tblLayout w:type="fixed"/>
        <w:tblCellMar>
          <w:left w:w="10" w:type="dxa"/>
          <w:right w:w="10" w:type="dxa"/>
        </w:tblCellMar>
        <w:tblLook w:val="0000" w:firstRow="0" w:lastRow="0" w:firstColumn="0" w:lastColumn="0" w:noHBand="0" w:noVBand="0"/>
      </w:tblPr>
      <w:tblGrid>
        <w:gridCol w:w="1424"/>
        <w:gridCol w:w="6210"/>
        <w:gridCol w:w="495"/>
        <w:gridCol w:w="450"/>
        <w:gridCol w:w="450"/>
        <w:gridCol w:w="507"/>
      </w:tblGrid>
      <w:tr w:rsidR="007A538C">
        <w:trPr>
          <w:trHeight w:val="311"/>
          <w:tblHeader/>
        </w:trPr>
        <w:tc>
          <w:tcPr>
            <w:tcW w:w="14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6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424"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pPr>
            <w:r>
              <w:rPr>
                <w:rFonts w:ascii="Times New Roman" w:hAnsi="Times New Roman" w:cs="Times New Roman"/>
              </w:rPr>
              <w:t>Unidade Hidráulica</w:t>
            </w: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limites de parada de subida (limpeza, fixação, lubrificação, desgastes dos canais, eixos e rolamentos)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36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guias e suportes (limpeza, lubrificação)</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cabos de manobra e fiação (condições da fiação elétrica e cabos de manobra da caixa corrida, linhas rompidas, oxidação em bornes, obstrução e posição)</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r>
      <w:tr w:rsidR="007A538C">
        <w:trPr>
          <w:trHeight w:hRule="exact" w:val="2135"/>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portas de pavimento e fecho eletromecânico* (fixação do dispositivo de arraste, mola, rolete, posição do suporte de acionamento da chave de emergência, cabos e peso de acionamento, tensionamento e lubrificação, limpar conjunto fechamento, acionamento e desacionamento da rampa móvel, verificar irregularidades nas portas, falhas elétricas, portas sem folga e abertura indevida, fixação da tampa, reaperto de fiações/conexões elétricas e braço acionador)</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 de redução de descida (limpeza, lubrificação e acionamento manual)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 de parada de descida (limpeza, fixação, lubrificação e acionamento manual)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36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válvula de queda (vazamentos)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conjunto arcadinha (funcionamento, estado e desgaste das corrediças, lubrificar e limpar)</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pistão hidráulico (vazamentos, fixação nos suportes dos pistões e conexões)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val="294"/>
        </w:trPr>
        <w:tc>
          <w:tcPr>
            <w:tcW w:w="142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62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mangueira hidráulica (vazamentos)</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0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tbl>
      <w:tblPr>
        <w:tblW w:w="9557" w:type="dxa"/>
        <w:tblInd w:w="55" w:type="dxa"/>
        <w:tblLayout w:type="fixed"/>
        <w:tblCellMar>
          <w:left w:w="10" w:type="dxa"/>
          <w:right w:w="10" w:type="dxa"/>
        </w:tblCellMar>
        <w:tblLook w:val="0000" w:firstRow="0" w:lastRow="0" w:firstColumn="0" w:lastColumn="0" w:noHBand="0" w:noVBand="0"/>
      </w:tblPr>
      <w:tblGrid>
        <w:gridCol w:w="1410"/>
        <w:gridCol w:w="5870"/>
        <w:gridCol w:w="462"/>
        <w:gridCol w:w="462"/>
        <w:gridCol w:w="435"/>
        <w:gridCol w:w="434"/>
        <w:gridCol w:w="484"/>
      </w:tblGrid>
      <w:tr w:rsidR="007A538C">
        <w:trPr>
          <w:trHeight w:val="311"/>
          <w:tblHeader/>
        </w:trPr>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58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4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41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pPr>
            <w:r>
              <w:rPr>
                <w:rFonts w:ascii="Times New Roman" w:hAnsi="Times New Roman" w:cs="Times New Roman"/>
              </w:rPr>
              <w:t>Poço</w:t>
            </w: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aparelho de segurança (funcionamento, estado dos componentes e seio do cabo de manobra,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corrediças inferiores (estado das corrediças e desgaste dos nylons e folga entre guia, limpar e lubrificar graxeiras)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parachoques e cornija (verifica a capa hidráulica, nível do óleo, fixação, funcionamento do pistão hidráulico, acionamento do contato elétrico manualmente, limpar cornija)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fundo do Poço (limpeza)</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tabs>
          <w:tab w:val="left" w:pos="561"/>
          <w:tab w:val="left" w:pos="1122"/>
          <w:tab w:val="center" w:pos="5340"/>
          <w:tab w:val="right" w:pos="9759"/>
        </w:tabs>
        <w:spacing w:line="360" w:lineRule="auto"/>
        <w:ind w:firstLine="1417"/>
        <w:jc w:val="both"/>
        <w:rPr>
          <w:rFonts w:ascii="Times New Roman" w:hAnsi="Times New Roman" w:cs="Times New Roman"/>
        </w:rPr>
      </w:pPr>
    </w:p>
    <w:p w:rsidR="007A538C" w:rsidRDefault="007A538C">
      <w:pPr>
        <w:ind w:left="709"/>
        <w:jc w:val="both"/>
        <w:rPr>
          <w:rFonts w:ascii="Times New Roman" w:hAnsi="Times New Roman" w:cs="Times New Roman"/>
        </w:rPr>
      </w:pPr>
    </w:p>
    <w:tbl>
      <w:tblPr>
        <w:tblW w:w="9540" w:type="dxa"/>
        <w:tblInd w:w="55" w:type="dxa"/>
        <w:tblLayout w:type="fixed"/>
        <w:tblCellMar>
          <w:left w:w="10" w:type="dxa"/>
          <w:right w:w="10" w:type="dxa"/>
        </w:tblCellMar>
        <w:tblLook w:val="0000" w:firstRow="0" w:lastRow="0" w:firstColumn="0" w:lastColumn="0" w:noHBand="0" w:noVBand="0"/>
      </w:tblPr>
      <w:tblGrid>
        <w:gridCol w:w="1410"/>
        <w:gridCol w:w="5870"/>
        <w:gridCol w:w="462"/>
        <w:gridCol w:w="462"/>
        <w:gridCol w:w="435"/>
        <w:gridCol w:w="434"/>
        <w:gridCol w:w="467"/>
      </w:tblGrid>
      <w:tr w:rsidR="007A538C">
        <w:trPr>
          <w:trHeight w:val="311"/>
          <w:tblHeader/>
        </w:trPr>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Equipamento</w:t>
            </w:r>
          </w:p>
        </w:tc>
        <w:tc>
          <w:tcPr>
            <w:tcW w:w="58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Descrição do serviço</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M</w:t>
            </w:r>
          </w:p>
        </w:tc>
        <w:tc>
          <w:tcPr>
            <w:tcW w:w="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B</w:t>
            </w:r>
          </w:p>
        </w:tc>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T</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Q</w:t>
            </w:r>
          </w:p>
        </w:tc>
        <w:tc>
          <w:tcPr>
            <w:tcW w:w="4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S</w:t>
            </w:r>
          </w:p>
        </w:tc>
      </w:tr>
      <w:tr w:rsidR="007A538C">
        <w:trPr>
          <w:trHeight w:hRule="exact" w:val="617"/>
        </w:trPr>
        <w:tc>
          <w:tcPr>
            <w:tcW w:w="141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center"/>
              <w:rPr>
                <w:rFonts w:ascii="Times New Roman" w:hAnsi="Times New Roman" w:cs="Times New Roman"/>
              </w:rPr>
            </w:pPr>
            <w:r>
              <w:rPr>
                <w:rFonts w:ascii="Times New Roman" w:hAnsi="Times New Roman" w:cs="Times New Roman"/>
              </w:rPr>
              <w:t>Plataforma</w:t>
            </w:r>
          </w:p>
          <w:p w:rsidR="007A538C" w:rsidRDefault="00A16C4F">
            <w:pPr>
              <w:snapToGrid w:val="0"/>
              <w:spacing w:line="200" w:lineRule="atLeast"/>
              <w:jc w:val="center"/>
            </w:pPr>
            <w:r>
              <w:rPr>
                <w:rFonts w:ascii="Times New Roman" w:hAnsi="Times New Roman" w:cs="Times New Roman"/>
              </w:rPr>
              <w:t>Elevatória</w:t>
            </w: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funcionamento e integridade do painel de operação</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617"/>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limites de parada de subida e descida (limpeza, fixação, lubrificação, desgastes dos canais, eixos e rolamentos)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rPr>
          <w:trHeight w:hRule="exact" w:val="870"/>
        </w:trPr>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pistão hidráulico (vazamentos, fixação nos suportes dos pistões e conexões)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r w:rsidR="007A538C">
        <w:tc>
          <w:tcPr>
            <w:tcW w:w="141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58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snapToGrid w:val="0"/>
              <w:spacing w:line="200" w:lineRule="atLeast"/>
              <w:jc w:val="both"/>
            </w:pPr>
            <w:r>
              <w:rPr>
                <w:rFonts w:ascii="Times New Roman" w:hAnsi="Times New Roman" w:cs="Times New Roman"/>
              </w:rPr>
              <w:t>Verificar mangueira hidráulica (vazamentos)</w:t>
            </w: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hAnsi="Times New Roman" w:cs="Times New Roman"/>
              </w:rPr>
            </w:pPr>
            <w:r>
              <w:rPr>
                <w:rFonts w:ascii="Times New Roman" w:hAnsi="Times New Roman" w:cs="Times New Roman"/>
              </w:rPr>
              <w:t>X</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c>
          <w:tcPr>
            <w:tcW w:w="4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hAnsi="Times New Roman" w:cs="Times New Roman"/>
              </w:rPr>
            </w:pPr>
          </w:p>
        </w:tc>
      </w:tr>
    </w:tbl>
    <w:p w:rsidR="007A538C" w:rsidRDefault="007A538C">
      <w:pPr>
        <w:tabs>
          <w:tab w:val="left" w:pos="-371"/>
          <w:tab w:val="left" w:pos="338"/>
        </w:tabs>
        <w:snapToGrid w:val="0"/>
        <w:spacing w:after="240" w:line="360" w:lineRule="auto"/>
        <w:rPr>
          <w:rFonts w:ascii="Times New Roman" w:eastAsia="Arial" w:hAnsi="Times New Roman" w:cs="Times New Roman"/>
          <w:b/>
          <w:bCs/>
        </w:rPr>
      </w:pPr>
    </w:p>
    <w:p w:rsidR="007A538C" w:rsidRDefault="00A16C4F">
      <w:pPr>
        <w:pStyle w:val="western"/>
        <w:numPr>
          <w:ilvl w:val="0"/>
          <w:numId w:val="24"/>
        </w:numPr>
        <w:shd w:val="clear" w:color="auto" w:fill="CCCCCC"/>
        <w:tabs>
          <w:tab w:val="left" w:pos="0"/>
        </w:tabs>
        <w:spacing w:before="0" w:after="0"/>
        <w:ind w:left="425" w:right="0" w:hanging="450"/>
      </w:pPr>
      <w:bookmarkStart w:id="18" w:name="__RefNumPara__19153_1614366961"/>
      <w:bookmarkEnd w:id="18"/>
      <w:r>
        <w:rPr>
          <w:rFonts w:cs="Times New Roman"/>
          <w:b/>
        </w:rPr>
        <w:t xml:space="preserve">  Regime de Execução e Critérios Para Julgamento Das Propostas</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snapToGrid w:val="0"/>
        <w:spacing w:after="240" w:line="360" w:lineRule="auto"/>
        <w:jc w:val="both"/>
      </w:pPr>
      <w:r>
        <w:rPr>
          <w:rStyle w:val="Fontepargpadro1"/>
          <w:rFonts w:ascii="Times New Roman" w:eastAsia="Arial" w:hAnsi="Times New Roman" w:cs="Times New Roman"/>
          <w:szCs w:val="24"/>
        </w:rPr>
        <w:t>O regime de execução será empreitada por preço global e tipo menor preço.</w:t>
      </w:r>
    </w:p>
    <w:p w:rsidR="007A538C" w:rsidRDefault="00A16C4F">
      <w:pPr>
        <w:pStyle w:val="Corpodetexto"/>
        <w:numPr>
          <w:ilvl w:val="1"/>
          <w:numId w:val="24"/>
        </w:numPr>
        <w:tabs>
          <w:tab w:val="left" w:pos="-3611"/>
          <w:tab w:val="left" w:pos="-3240"/>
          <w:tab w:val="left" w:pos="-2902"/>
        </w:tabs>
        <w:snapToGrid w:val="0"/>
        <w:spacing w:after="240" w:line="360" w:lineRule="auto"/>
        <w:jc w:val="both"/>
      </w:pPr>
      <w:r>
        <w:rPr>
          <w:rStyle w:val="Fontepargpadro1"/>
          <w:rFonts w:ascii="Times New Roman" w:eastAsia="Arial" w:hAnsi="Times New Roman" w:cs="Times New Roman"/>
          <w:szCs w:val="24"/>
        </w:rPr>
        <w:t>A proposta apresentada deverá conter o CNPJ da proponente, prazo de validade, ser endereçada ao Conselho Nacional do Ministério Público – CNMP e obedecer às seguintes condições:</w:t>
      </w:r>
    </w:p>
    <w:p w:rsidR="007A538C" w:rsidRDefault="00A16C4F">
      <w:pPr>
        <w:pStyle w:val="Corpodetexto"/>
        <w:numPr>
          <w:ilvl w:val="2"/>
          <w:numId w:val="24"/>
        </w:numPr>
        <w:tabs>
          <w:tab w:val="left" w:pos="-4691"/>
          <w:tab w:val="left" w:pos="-4320"/>
          <w:tab w:val="left" w:pos="-3982"/>
        </w:tabs>
        <w:snapToGrid w:val="0"/>
        <w:spacing w:after="240" w:line="360" w:lineRule="auto"/>
        <w:jc w:val="both"/>
      </w:pPr>
      <w:r>
        <w:rPr>
          <w:rStyle w:val="Fontepargpadro1"/>
          <w:rFonts w:ascii="Times New Roman" w:eastAsia="Arial" w:hAnsi="Times New Roman" w:cs="Times New Roman"/>
          <w:szCs w:val="24"/>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rsidR="007A538C" w:rsidRDefault="00A16C4F">
      <w:pPr>
        <w:pStyle w:val="Corpodetexto"/>
        <w:numPr>
          <w:ilvl w:val="2"/>
          <w:numId w:val="24"/>
        </w:numPr>
        <w:tabs>
          <w:tab w:val="left" w:pos="-4691"/>
          <w:tab w:val="left" w:pos="-4320"/>
          <w:tab w:val="left" w:pos="-3982"/>
        </w:tabs>
        <w:snapToGrid w:val="0"/>
        <w:spacing w:after="240" w:line="360" w:lineRule="auto"/>
        <w:jc w:val="both"/>
      </w:pPr>
      <w:r>
        <w:rPr>
          <w:rStyle w:val="Fontepargpadro1"/>
          <w:rFonts w:ascii="Times New Roman" w:eastAsia="Arial" w:hAnsi="Times New Roman" w:cs="Times New Roman"/>
          <w:szCs w:val="24"/>
        </w:rPr>
        <w:t xml:space="preserve">O julgamento das propostas se dará pelo menor preço global (Justificativas – item </w:t>
      </w:r>
      <w:r>
        <w:rPr>
          <w:rStyle w:val="Fontepargpadro1"/>
          <w:rFonts w:ascii="Times New Roman" w:eastAsia="Arial" w:hAnsi="Times New Roman" w:cs="Times New Roman"/>
          <w:szCs w:val="24"/>
        </w:rPr>
        <w:fldChar w:fldCharType="begin"/>
      </w:r>
      <w:r>
        <w:rPr>
          <w:rStyle w:val="Fontepargpadro1"/>
          <w:rFonts w:ascii="Times New Roman" w:eastAsia="Arial" w:hAnsi="Times New Roman" w:cs="Times New Roman"/>
          <w:szCs w:val="24"/>
        </w:rPr>
        <w:instrText xml:space="preserve"> REF __RefNumPara__19093_1614366961 </w:instrText>
      </w:r>
      <w:r>
        <w:rPr>
          <w:rStyle w:val="Fontepargpadro1"/>
          <w:rFonts w:ascii="Times New Roman" w:eastAsia="Arial" w:hAnsi="Times New Roman" w:cs="Times New Roman"/>
          <w:szCs w:val="24"/>
        </w:rPr>
        <w:fldChar w:fldCharType="end"/>
      </w:r>
      <w:r>
        <w:rPr>
          <w:rStyle w:val="Fontepargpadro1"/>
          <w:rFonts w:ascii="Times New Roman" w:eastAsia="Arial" w:hAnsi="Times New Roman" w:cs="Times New Roman"/>
          <w:szCs w:val="24"/>
        </w:rPr>
        <w:t>).</w:t>
      </w:r>
    </w:p>
    <w:p w:rsidR="007A538C" w:rsidRDefault="00A16C4F">
      <w:pPr>
        <w:pStyle w:val="Corpodetexto"/>
        <w:numPr>
          <w:ilvl w:val="2"/>
          <w:numId w:val="24"/>
        </w:numPr>
        <w:tabs>
          <w:tab w:val="left" w:pos="-4691"/>
          <w:tab w:val="left" w:pos="-4320"/>
          <w:tab w:val="left" w:pos="-3982"/>
        </w:tabs>
        <w:snapToGrid w:val="0"/>
        <w:spacing w:after="240" w:line="360" w:lineRule="auto"/>
        <w:jc w:val="both"/>
      </w:pPr>
      <w:r>
        <w:rPr>
          <w:rStyle w:val="Fontepargpadro1"/>
          <w:rFonts w:ascii="Times New Roman" w:eastAsia="Arial" w:hAnsi="Times New Roman" w:cs="Times New Roman"/>
          <w:szCs w:val="24"/>
        </w:rPr>
        <w:lastRenderedPageBreak/>
        <w:t>As proponentes deverão apresentar preço unitário e total em Reais (R$), mediante preenchimento da tabela de preço presente no ANEXO II do Edital.</w:t>
      </w:r>
    </w:p>
    <w:p w:rsidR="007A538C" w:rsidRDefault="00A16C4F">
      <w:pPr>
        <w:pStyle w:val="western"/>
        <w:numPr>
          <w:ilvl w:val="0"/>
          <w:numId w:val="24"/>
        </w:numPr>
        <w:shd w:val="clear" w:color="auto" w:fill="CCCCCC"/>
        <w:tabs>
          <w:tab w:val="left" w:pos="0"/>
        </w:tabs>
        <w:spacing w:before="0" w:after="0"/>
        <w:ind w:left="425" w:right="0" w:hanging="450"/>
      </w:pPr>
      <w:r>
        <w:rPr>
          <w:rFonts w:cs="Times New Roman"/>
          <w:b/>
        </w:rPr>
        <w:t>Adequação Orçamentária</w:t>
      </w:r>
    </w:p>
    <w:p w:rsidR="007A538C" w:rsidRDefault="007A538C">
      <w:pPr>
        <w:tabs>
          <w:tab w:val="left" w:pos="709"/>
          <w:tab w:val="left" w:pos="1418"/>
        </w:tabs>
        <w:snapToGrid w:val="0"/>
        <w:spacing w:after="240" w:line="360" w:lineRule="auto"/>
        <w:jc w:val="both"/>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Os recursos dessa contratação estão consignados</w:t>
      </w:r>
      <w:r w:rsidR="00D758EB">
        <w:rPr>
          <w:rStyle w:val="Fontepargpadro1"/>
          <w:rFonts w:ascii="Times New Roman" w:eastAsia="Arial" w:hAnsi="Times New Roman" w:cs="Times New Roman"/>
          <w:bCs/>
          <w:szCs w:val="24"/>
        </w:rPr>
        <w:t xml:space="preserve"> no orçamento da União para 2018</w:t>
      </w:r>
      <w:r>
        <w:rPr>
          <w:rStyle w:val="Fontepargpadro1"/>
          <w:rFonts w:ascii="Times New Roman" w:eastAsia="Arial" w:hAnsi="Times New Roman" w:cs="Times New Roman"/>
          <w:bCs/>
          <w:szCs w:val="24"/>
        </w:rPr>
        <w:t xml:space="preserve"> no Programa 2100, Ação 8010 - Controle da Atuação Administrativa e Financeira do Ministério Público e do Cumprimento dos Deveres Funcion</w:t>
      </w:r>
      <w:r w:rsidR="00D758EB">
        <w:rPr>
          <w:rStyle w:val="Fontepargpadro1"/>
          <w:rFonts w:ascii="Times New Roman" w:eastAsia="Arial" w:hAnsi="Times New Roman" w:cs="Times New Roman"/>
          <w:bCs/>
          <w:szCs w:val="24"/>
        </w:rPr>
        <w:t>ais de seus Membros, Fonte 0100, do Plano Interno 8010MSACNMP e do Programa de Trabalho Resumido (PTRES) 110389.</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bCs/>
          <w:szCs w:val="24"/>
        </w:rPr>
        <w:t>Para os serviços de manutenção preventiva, preditiva e corretiva a serem prestados itens 1 e 2 da tabela do ANEXO 1 os recursos estão consignados no Elemento Contábil 3.3.90.39-16. - Manutenção e Conservação de Bens Imóveis.</w:t>
      </w:r>
    </w:p>
    <w:p w:rsidR="007A538C" w:rsidRDefault="00A16C4F">
      <w:pPr>
        <w:pStyle w:val="western"/>
        <w:numPr>
          <w:ilvl w:val="0"/>
          <w:numId w:val="24"/>
        </w:numPr>
        <w:shd w:val="clear" w:color="auto" w:fill="CCCCCC"/>
        <w:tabs>
          <w:tab w:val="left" w:pos="0"/>
        </w:tabs>
        <w:spacing w:before="0" w:after="0"/>
        <w:ind w:left="425" w:right="0" w:hanging="450"/>
      </w:pPr>
      <w:r>
        <w:rPr>
          <w:rFonts w:cs="Times New Roman"/>
          <w:b/>
        </w:rPr>
        <w:t>Prazo de Garantia e Formas de Manutenção e/ou Suporte Técnico</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O período de Garantia Técnica para os serviços executados deverá ser de, no mínimo, 90 (noventa) dias a contar da data da solução da ocorrência, e de no mínimo de 12 (doze) meses no caso de fornecimento de peças/componentes, prevalecendo a garantia oferecida pelo fabricante, caso o prazo seja superior, sempre contados a partir da data da emissão do Termo de Recebimento Definitivo;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A assistência técnica da garantia deverá ser prestada durante o período de garantia estipulado no item anterior de acordo com as seguintes condições: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 A execução da garantia incluirá refazimento parcial ou integral do serviço e substituição de peças/componentes e não implicará, em qualquer hipótese, ônus para a CONTRATANTE.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 A assistência técnica será on-site e consistirá na manutenção corretiva de todo </w:t>
      </w:r>
      <w:r>
        <w:rPr>
          <w:rStyle w:val="Fontepargpadro1"/>
          <w:rFonts w:ascii="Times New Roman" w:eastAsia="Arial" w:hAnsi="Times New Roman" w:cs="Times New Roman"/>
          <w:szCs w:val="24"/>
        </w:rPr>
        <w:lastRenderedPageBreak/>
        <w:t>e qualquer defeito apresentado decorrente de serviços prestados, incluindo o fornecimento e a substituição de peças e/ou componentes, ajustes, reparos e demais correções necessárias. O atendimento deverá ser prestado de acordo com a gravidade do problema, conforme previsto na Tabela de Prazos definida neste termo de referência. Sempre que for tecnicamente possível, a manutenção corretiva poderá ser prestada por meio de ação remota ou, quando for inviável a solução remota, a execução dos serviços deverá ocorrer on-site. Na manutenção corretiva deve ser obedecido o mesmo padrão de qualidade e nível tecnológico existente nos equipamentos.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CONTRATADA será responsável pela garantia dos serviços realizados pelas empresas subcontratadas, e não implicará, em qualquer hipótese, ônus para a CONTRATANTE.</w:t>
      </w:r>
    </w:p>
    <w:p w:rsidR="007A538C" w:rsidRDefault="007A538C">
      <w:pPr>
        <w:pStyle w:val="Corpodetexto"/>
        <w:tabs>
          <w:tab w:val="left" w:pos="-371"/>
          <w:tab w:val="left" w:pos="338"/>
        </w:tabs>
        <w:snapToGrid w:val="0"/>
        <w:spacing w:after="240" w:line="360" w:lineRule="auto"/>
        <w:ind w:left="1440"/>
        <w:jc w:val="both"/>
        <w:rPr>
          <w:rFonts w:ascii="Times New Roman" w:hAnsi="Times New Roman" w:cs="Times New Roman"/>
          <w:b/>
          <w:szCs w:val="24"/>
        </w:rPr>
      </w:pPr>
    </w:p>
    <w:p w:rsidR="007A538C" w:rsidRDefault="00A16C4F">
      <w:pPr>
        <w:pStyle w:val="western"/>
        <w:numPr>
          <w:ilvl w:val="0"/>
          <w:numId w:val="24"/>
        </w:numPr>
        <w:shd w:val="clear" w:color="auto" w:fill="CCCCCC"/>
        <w:tabs>
          <w:tab w:val="left" w:pos="0"/>
        </w:tabs>
        <w:spacing w:before="0" w:after="0"/>
        <w:ind w:left="425" w:right="0" w:hanging="450"/>
      </w:pPr>
      <w:r>
        <w:rPr>
          <w:rFonts w:cs="Times New Roman"/>
          <w:b/>
        </w:rPr>
        <w:t>Do Recebimento e do Pagamento</w:t>
      </w:r>
    </w:p>
    <w:p w:rsidR="007A538C" w:rsidRDefault="007A538C">
      <w:pPr>
        <w:pStyle w:val="WW-Padro"/>
        <w:rPr>
          <w:rFonts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Do Recebimento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O recebimento provisório se dará, mensalmente, no ato da entrega da nota fiscal relativa aos serviços prestados acompanhada dos relatórios técnicos e demais exigências especificadas no tópico </w:t>
      </w:r>
      <w:r>
        <w:rPr>
          <w:rStyle w:val="Fontepargpadro1"/>
          <w:rFonts w:ascii="Times New Roman" w:eastAsia="Arial" w:hAnsi="Times New Roman" w:cs="Times New Roman"/>
          <w:szCs w:val="24"/>
        </w:rPr>
        <w:fldChar w:fldCharType="begin"/>
      </w:r>
      <w:r>
        <w:rPr>
          <w:rStyle w:val="Fontepargpadro1"/>
          <w:rFonts w:ascii="Times New Roman" w:eastAsia="Arial" w:hAnsi="Times New Roman" w:cs="Times New Roman"/>
          <w:szCs w:val="24"/>
        </w:rPr>
        <w:instrText xml:space="preserve"> REF __RefNumPara__25856_1614366961 </w:instrText>
      </w:r>
      <w:r>
        <w:rPr>
          <w:rStyle w:val="Fontepargpadro1"/>
          <w:rFonts w:ascii="Times New Roman" w:eastAsia="Arial" w:hAnsi="Times New Roman" w:cs="Times New Roman"/>
          <w:szCs w:val="24"/>
        </w:rPr>
        <w:fldChar w:fldCharType="end"/>
      </w:r>
      <w:r>
        <w:rPr>
          <w:rStyle w:val="Fontepargpadro1"/>
          <w:rFonts w:ascii="Times New Roman" w:eastAsia="Arial" w:hAnsi="Times New Roman" w:cs="Times New Roman"/>
          <w:szCs w:val="24"/>
        </w:rPr>
        <w:t>, bem como das documentações comprobatórias da regularidade fiscal, trabalhista e previdenciária.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Os serviços poderão ser rejeitados, no todo ou em parte, quando em desacordo com as especificações constantes neste Termo de Referência e na proposta, devendo ser reparados, corrigidos ou refeitos no prazo de 5 dias úteis, a contar da notificação da contratada, às suas custas, sem prejuízo da aplicação das penalidades.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bookmarkStart w:id="19" w:name="__RefNumPara__25860_1614366961"/>
      <w:bookmarkEnd w:id="19"/>
      <w:r>
        <w:rPr>
          <w:rStyle w:val="Fontepargpadro1"/>
          <w:rFonts w:ascii="Times New Roman" w:eastAsia="Arial" w:hAnsi="Times New Roman" w:cs="Times New Roman"/>
          <w:szCs w:val="24"/>
        </w:rPr>
        <w:t xml:space="preserve">O recebimento definitivo se dará em até 5 (cinco) dias úteis depois do recebimento provisório, após verificação de que os serviços foram prestados de acordo </w:t>
      </w:r>
      <w:r>
        <w:rPr>
          <w:rStyle w:val="Fontepargpadro1"/>
          <w:rFonts w:ascii="Times New Roman" w:eastAsia="Arial" w:hAnsi="Times New Roman" w:cs="Times New Roman"/>
          <w:szCs w:val="24"/>
        </w:rPr>
        <w:lastRenderedPageBreak/>
        <w:t>com as condições e as especificações desse termo de referência.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rPr>
        <w:t xml:space="preserve">Na hipótese de a verificação a que se refere o item </w:t>
      </w:r>
      <w:r>
        <w:rPr>
          <w:rStyle w:val="Fontepargpadro1"/>
          <w:rFonts w:ascii="Times New Roman" w:eastAsia="Arial" w:hAnsi="Times New Roman" w:cs="Times New Roman"/>
          <w:szCs w:val="24"/>
        </w:rPr>
        <w:fldChar w:fldCharType="begin"/>
      </w:r>
      <w:r>
        <w:rPr>
          <w:rStyle w:val="Fontepargpadro1"/>
          <w:rFonts w:ascii="Times New Roman" w:eastAsia="Arial" w:hAnsi="Times New Roman" w:cs="Times New Roman"/>
          <w:szCs w:val="24"/>
        </w:rPr>
        <w:instrText xml:space="preserve"> REF __RefNumPara__25860_1614366961 </w:instrText>
      </w:r>
      <w:r>
        <w:rPr>
          <w:rStyle w:val="Fontepargpadro1"/>
          <w:rFonts w:ascii="Times New Roman" w:eastAsia="Arial" w:hAnsi="Times New Roman" w:cs="Times New Roman"/>
          <w:szCs w:val="24"/>
        </w:rPr>
        <w:fldChar w:fldCharType="end"/>
      </w:r>
      <w:r>
        <w:rPr>
          <w:rStyle w:val="Fontepargpadro1"/>
          <w:rFonts w:ascii="Times New Roman" w:eastAsia="Arial" w:hAnsi="Times New Roman" w:cs="Times New Roman"/>
          <w:szCs w:val="24"/>
        </w:rPr>
        <w:t xml:space="preserve"> não ser procedida dentro do prazo fixado, reputar-se-á como realizada, consumando-se o recebimento definitivo no dia do esgotamento do prazo.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Contratada deverá apresentar Nota Fiscal/Fatura dos serviços prestados até o 5º (quinto) dia útil do mês seguinte ao mês da prestação dos serviços. O primeiro e o último pagamentos serão pró-rata.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Do Pagamento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O CONTRATANTE pagará à CONTRATADA, pelos serviços efetivamente prestados, em até 5 (cinco) dias úteis, para as faturas com valor de até R$ 8.000,00, e em até 10 (dez) dias úteis a partir desse valor, contados a partir da data de recebimento definitivo do objeto, acompanhada do atesto do Fiscal do contrato, conforme o disposto nos artigos 67 e 73 da Lei 8.666/93.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O pagamento será feito por meio de depósito na conta corrente da CONTRATADA, através de Ordem Bancária, mediante apresentação da respectiva Nota Fiscal/Fatura do fornecimento.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 xml:space="preserve">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w:t>
      </w:r>
      <w:r>
        <w:rPr>
          <w:rStyle w:val="Fontepargpadro1"/>
          <w:rFonts w:ascii="Times New Roman" w:eastAsia="Arial" w:hAnsi="Times New Roman" w:cs="Times New Roman"/>
          <w:szCs w:val="24"/>
        </w:rPr>
        <w:lastRenderedPageBreak/>
        <w:t>números do Banco, da Agência e da Conta-Corrente da CONTRATADA, e a descrição clara e sucinta do objeto.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Sobre o valor da nota fiscal, a CONTRATANTE fará as retenções devidas ao INSS e as dos impostos e contribuições previstas na Instrução Normativa SRF nº 1.234, de 11/01/2012.</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CONTRATADA deverá, ainda, junto à Nota Fiscal/Fatura, apresentar os documentos comprobatórios de regularidade fiscal, trabalhista e previdenciária.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A apresentação de certidões atrasadas ou irregulares com a nota fiscal ensejará anotação do fiscal no registro próprio e criará pendência a ser sanada pela Contratada.</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rPr>
        <w:t>Responsabilidades da Contratante e da Contratada</w:t>
      </w:r>
    </w:p>
    <w:p w:rsidR="007A538C" w:rsidRDefault="007A538C">
      <w:pPr>
        <w:spacing w:line="360" w:lineRule="auto"/>
        <w:rPr>
          <w:rFonts w:ascii="Times New Roman" w:hAnsi="Times New Roman" w:cs="Times New Roman"/>
        </w:rPr>
      </w:pPr>
    </w:p>
    <w:p w:rsidR="007A538C" w:rsidRDefault="00A16C4F">
      <w:pPr>
        <w:pStyle w:val="WW-Padro"/>
        <w:spacing w:line="360" w:lineRule="auto"/>
      </w:pPr>
      <w:r>
        <w:rPr>
          <w:rFonts w:cs="Times New Roman"/>
          <w:u w:val="single"/>
        </w:rPr>
        <w:t>Da Contratante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Proporcionar as facilidades indispensáveis à boa execução das obrigações contratuais;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Promover os pagamentos dentro do prazo estipulado, desde que sejam </w:t>
      </w:r>
      <w:r>
        <w:rPr>
          <w:rStyle w:val="Fontepargpadro1"/>
          <w:rFonts w:ascii="Times New Roman" w:eastAsia="Arial" w:hAnsi="Times New Roman" w:cs="Times New Roman"/>
          <w:szCs w:val="24"/>
        </w:rPr>
        <w:lastRenderedPageBreak/>
        <w:t>observadas as condições contratuais;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Aplicar as sanções, conforme previsto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Assegurar o acesso de pessoal autorizado pela CONTRATADA, devidamente identificado, responsável pela execução dos serviços, devendo tomar todas as providências administrativas que garantam o livre desempenho de suas atividades;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Relacionar-se com a CONTRATADA exclusivamente por meio de pessoa por ela indicada;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Exigir, a qualquer tempo, a comprovação das condições da CONTRATADA que ensejaram sua contratação.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Manter arquivado, junto ao processo administrativo ao qual está vinculado o presente termo, toda a documentação referente ao mesmo.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Receber o objeto no prazo e condições estabelecidas no Edital e seus anexos.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Verificar minuciosamente, no prazo fixado, a conformidade dos serviços realizados provisoriamente com as especificações constantes do Edital e da proposta, para fins de aceitação e recebimentos.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Comunicar à CONTRATADA, por escrito, sobre imperfeições, falhas ou </w:t>
      </w:r>
      <w:r>
        <w:rPr>
          <w:rStyle w:val="Fontepargpadro1"/>
          <w:rFonts w:ascii="Times New Roman" w:eastAsia="Arial" w:hAnsi="Times New Roman" w:cs="Times New Roman"/>
          <w:szCs w:val="24"/>
        </w:rPr>
        <w:lastRenderedPageBreak/>
        <w:t>irregularidades verificadas no serviço realizado, fixando prazo para que seja substituído, reparado ou corrigido.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Prestar todas as informações e esclarecimentos pertinentes ao serviço, que venham a ser solicitadas pelos técnicos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Anotar em registro próprio e notificar à CONTRATADA, por escrito, a ocorrência de eventuais imperfeições no curso de execução do serviço, fixando prazo para a sua correção.</w:t>
      </w:r>
    </w:p>
    <w:p w:rsidR="007A538C" w:rsidRDefault="007A538C">
      <w:pPr>
        <w:spacing w:line="360" w:lineRule="auto"/>
        <w:rPr>
          <w:rFonts w:ascii="Times New Roman" w:hAnsi="Times New Roman" w:cs="Times New Roman"/>
        </w:rPr>
      </w:pPr>
    </w:p>
    <w:p w:rsidR="007A538C" w:rsidRDefault="00A16C4F">
      <w:pPr>
        <w:pStyle w:val="WW-Padro"/>
        <w:spacing w:line="360" w:lineRule="auto"/>
      </w:pPr>
      <w:r>
        <w:rPr>
          <w:rFonts w:cs="Times New Roman"/>
          <w:u w:val="single"/>
        </w:rPr>
        <w:t>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Entregar o objeto do contrato conforme especificado e dentro do prazo de entrega estipulado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Prestar garantia e suporte técnico conforme estabelecido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Responder pela qualidade dos produtos oferecidos, que deverão ser compatíveis com as finalidades a que se destinam, bem como pelo fornecimento ou eventuais atrasos.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Conceder ao CONTRATANTE o direito de exercer ampla fiscalização sobre os serviços em andamento, prestando ao CONTRATANTE todas as informações e esclarecimentos solicitados;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Atentar para as normas de segurança nas dependências do CONTRATANTE, devendo apresentar seus técnicos devidamente identificados por meio de crachás e/ou uniformizados;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Substituir, imediatamente, qualquer empregado cuja atuação, permanência e/ou comportamento sejam julgados prejudiciais, inconvenientes e/ou insatisfatórios pela Contratante.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Os empregados da CONTRATADA não terão, em hipótese alguma, qualquer relação de emprego com o CONTRATANTE, sendo de exclusiva responsabilidade da empresa, as despesas com todos encargos e obrigações sociais, trabalhistas e fiscais;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Fornecer todo o material, ferramentas e equipamentos necessários à perfeita execução dos serviços, sendo que os materiais a serem empregados deverão ser de primeira qualidade;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Não se associar com outrem, não subcontratar, ceder ou transferir, total ou parcialmente, o objeto ora licitado, exceto para as situações e condições previstas neste Termo;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rPr>
        <w:t xml:space="preserve"> É vedado à CONTRATADA, sob pena de rescisão contratual, caucionar ou utilizar o Contrato para qualquer operação financeira, sem prévia e expressa anuência do </w:t>
      </w:r>
      <w:r>
        <w:rPr>
          <w:rStyle w:val="Fontepargpadro1"/>
          <w:rFonts w:ascii="Times New Roman" w:eastAsia="Arial" w:hAnsi="Times New Roman" w:cs="Times New Roman"/>
          <w:szCs w:val="24"/>
        </w:rPr>
        <w:lastRenderedPageBreak/>
        <w:t>CONTRATANTE;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Manter durante a execução do contrato todas as condições de habilitação e qualificação exigidas na licitação pertinente.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Disponibilizar uma conta de </w:t>
      </w:r>
      <w:r>
        <w:rPr>
          <w:rStyle w:val="Fontepargpadro1"/>
          <w:rFonts w:ascii="Times New Roman" w:eastAsia="Arial" w:hAnsi="Times New Roman" w:cs="Times New Roman"/>
          <w:i/>
          <w:szCs w:val="24"/>
          <w:lang w:eastAsia="ar-SA" w:bidi="ar-SA"/>
        </w:rPr>
        <w:t>e-mail</w:t>
      </w:r>
      <w:r>
        <w:rPr>
          <w:rStyle w:val="Fontepargpadro1"/>
          <w:rFonts w:ascii="Times New Roman" w:eastAsia="Arial" w:hAnsi="Times New Roman" w:cs="Times New Roman"/>
          <w:szCs w:val="24"/>
          <w:lang w:eastAsia="ar-SA" w:bidi="ar-SA"/>
        </w:rPr>
        <w:t xml:space="preserve"> para fins de comunicação entre as partes;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Manter atualizado o endereço comercial, de </w:t>
      </w:r>
      <w:r>
        <w:rPr>
          <w:rStyle w:val="Fontepargpadro1"/>
          <w:rFonts w:ascii="Times New Roman" w:eastAsia="Arial" w:hAnsi="Times New Roman" w:cs="Times New Roman"/>
          <w:i/>
          <w:szCs w:val="24"/>
          <w:lang w:eastAsia="ar-SA" w:bidi="ar-SA"/>
        </w:rPr>
        <w:t>e-mail</w:t>
      </w:r>
      <w:r>
        <w:rPr>
          <w:rStyle w:val="Fontepargpadro1"/>
          <w:rFonts w:ascii="Times New Roman" w:eastAsia="Arial" w:hAnsi="Times New Roman" w:cs="Times New Roman"/>
          <w:szCs w:val="24"/>
          <w:lang w:eastAsia="ar-SA" w:bidi="ar-SA"/>
        </w:rPr>
        <w:t>, o número de telefone e de fax;</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Resguardar que seus funcionários cumpram as normas internas do CONTRATANTE e impedir que os que cometerem faltas a partir da classificação de natureza grave continuem na prestação dos serviços.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Assumir todas as responsabilidades e tomar as medidas necessárias para o atendimento dos prestadores de serviço acidentados ou com mal súbito.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Manter, durante toda a execução do contrato, em compatibilidade com as </w:t>
      </w:r>
      <w:r>
        <w:rPr>
          <w:rStyle w:val="Fontepargpadro1"/>
          <w:rFonts w:ascii="Times New Roman" w:eastAsia="Arial" w:hAnsi="Times New Roman" w:cs="Times New Roman"/>
          <w:szCs w:val="24"/>
          <w:lang w:eastAsia="ar-SA" w:bidi="ar-SA"/>
        </w:rPr>
        <w:lastRenderedPageBreak/>
        <w:t>obrigações por ele assumidas, todas as condições de habilitação e qualificação exigidas na licitação (Art. 55, XVIII Lei 8.666/93).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CONTRATADA é responsável pelos danos causados diretamente à Administração ou a terceiros, decorrentes de sua culpa ou dolo na execução do contrato (Art. 70 Lei 8.666/93).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CONTRATADA deve responsabilizar-se por quaisquer acidentes de trabalho sofridos pelos seus empregados quando em serviço.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deve observar rigorosamente as normas regulamentadoras de segurança do trabalho.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obriga-se a manter, nas dependências do CONTRATANTE, os funcionários identificados e uniformizados de maneira condizente com o serviço, observando ainda as normas internas e de segurança.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É vedado à CONTRATADA reproduzir, divulgar ou utilizar, em benefício próprio ou de terceiros, quaisquer informações de que tenha tomado ciência em razão da execução dos serviços sem o consentimento prévio e por escrito do CONTRATANTE.</w:t>
      </w:r>
    </w:p>
    <w:p w:rsidR="007A538C" w:rsidRDefault="007A538C">
      <w:pPr>
        <w:spacing w:line="360" w:lineRule="auto"/>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rPr>
        <w:t xml:space="preserve"> Critérios de Qualificação Técnica Exigidos para a Contratada</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hAnsi="Times New Roman" w:cs="Times New Roman"/>
          <w:szCs w:val="24"/>
        </w:rPr>
        <w:tab/>
      </w:r>
      <w:r>
        <w:rPr>
          <w:rStyle w:val="Fontepargpadro1"/>
          <w:rFonts w:ascii="Times New Roman" w:eastAsia="Arial" w:hAnsi="Times New Roman" w:cs="Times New Roman"/>
          <w:szCs w:val="24"/>
          <w:lang w:eastAsia="ar-SA" w:bidi="ar-SA"/>
        </w:rPr>
        <w:t xml:space="preserve"> Para fins de habilitação, a licitante deverá apresentar os seguintes atestados ou declarações: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Certidão de Registro ou Inscrição no Conselho Regional de Engenharia, Arquitetura e Agronomia – CREA, em nome da licitante, com validade na data de abertura do certame, onde conste que a área de atuação da empresa é prestação de serviços de assistência técnica, relativos à manutenção preventiva e corretiva em elevadores de passageiros, emitida pelo CREA da jurisdição da sede da licitante ou da </w:t>
      </w:r>
      <w:r>
        <w:rPr>
          <w:rStyle w:val="Fontepargpadro1"/>
          <w:rFonts w:ascii="Times New Roman" w:eastAsia="Arial" w:hAnsi="Times New Roman" w:cs="Times New Roman"/>
          <w:szCs w:val="24"/>
          <w:lang w:eastAsia="ar-SA" w:bidi="ar-SA"/>
        </w:rPr>
        <w:lastRenderedPageBreak/>
        <w:t>base de uma de suas filiais.</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No caso de a licitante ter a sua sede fora da jurisdição do Distrito Federal, deverá providenciar registro ou visto no CREA-DF, na hipótese de sagrar-se vencedora da licitação.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Atestado(s) de Capacidade Técnico-Profissional, devidamente registrado(s) no CREA, acompanhado da CAT (Certidão de Acervo Técnico), emitido(s) por Pessoa Jurídica de direito público ou privado, de profissional(ais) engenheiro(s) mecânico(s), responsável(eis) técnico(s) pela manutenção, que certifique(m) a execução de serviços de instalação ou de assistência técnica, relativos a elevadores com casa de máquinas no topo da cabine.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Atestado(s) de Capacidade Técnico-Profissional, devidamente registrado(s) no CREA, acompanhado da CAT (Certidão de Acervo Técnico), emitido(s) por Pessoa Jurídica de direito público ou privado, de profissional(ais) engenheiro(s) eletricista(s) ou eletrônico(os), responsável(eis) técnico(s) pela manutenção, que certifique(m) a execução de serviços de instalação ou assistência técnica, relativos a modelos de elevadores dotados de sistema de monitoramento de tráfego.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Capacidade técnico-operacional, em nome da licitante, emitido(s) por pessoa jurídica de direito público ou privado, que comprove(m), explicitamente, ter a licitante prestado serviços de assistência técnica, relativos à manutenção preventiva e corretiva em no mínimo 2 (dois) elevadores de passageiros, com a seguinte especificações: </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Capacidade de no mínimo 12 (doze) passageiros, ou no mínimo 900 kg, 4 (quatro) paradas, com motor no topo da caixa dos elevadores e sistema de monitoramento de tráfego.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O(s) atestado(s) deverá(ão) estar impresso(s) em papel timbrado da pessoa jurídica que o(s) emitiu, com a descrição do nome completo, do cargo, da </w:t>
      </w:r>
      <w:r>
        <w:rPr>
          <w:rStyle w:val="Fontepargpadro1"/>
          <w:rFonts w:ascii="Times New Roman" w:eastAsia="Arial" w:hAnsi="Times New Roman" w:cs="Times New Roman"/>
          <w:szCs w:val="24"/>
          <w:lang w:eastAsia="ar-SA" w:bidi="ar-SA"/>
        </w:rPr>
        <w:lastRenderedPageBreak/>
        <w:t>função e conter a assinatura legível do responsável e, adicionalmente, conter dados sobre contatos de telefone, fax e correio eletrônico do responsável pela emissão do atestado.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Declaração, datada e assinada pelo responsável legal da pessoa jurídica, de que possui instalação apropriada e aparelhamento para a execução do serviço disponível na região do Distrito Federal, reservando ao CNMP o direito de vistoriá-la, antes da assinatura do contrato, podendo desclassificar a empresa que tenha condições insatisfatórias.</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 </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Relação explícita e declaração formal da disponibilidade da licitante de equipamentos, veículos e pessoal técnico especializado, considerados essenciais para o cumprimento do objeto da licitação;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licitante deverá apresentar declaração de que na execução dos serviços objeto do presente Termo Referência, obedecerá às Normas Técnicas da ABNT e as orientações do fabricante dos equipamentos, e legislações pertinentes e aplicáveis;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A mencionada vistoria deverá ser realizada até 1 (um) dia útil antes da </w:t>
      </w:r>
      <w:r>
        <w:rPr>
          <w:rStyle w:val="Fontepargpadro1"/>
          <w:rFonts w:ascii="Times New Roman" w:eastAsia="Arial" w:hAnsi="Times New Roman" w:cs="Times New Roman"/>
          <w:szCs w:val="24"/>
          <w:lang w:eastAsia="ar-SA" w:bidi="ar-SA"/>
        </w:rPr>
        <w:lastRenderedPageBreak/>
        <w:t>data prevista para a abertura da licitação, não sendo admitida, em hipótese alguma, qualquer alegação de desconhecimento, total ou parcial, dos serviços após a licitação;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A licitante poderá agendar a vistoria junto ao Conselho Nacional do Ministério Público, por meio do telefone (0XX61) 3366-9131 das 13h00 as 17h00, junto à Coordenaria de Engenharia;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Na vistoria a licitante poderá efetuar os levantamentos necessários para subsidiar a elaboração de suas propostas e eliminar possíveis omissões, falhas ou incompatibilidade com as informações constantes no edital;</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Durante a vistoria, a licitante deverá, com base em sua experiência empresarial, de acordo com seus critérios e métodos, complementar o diagnóstico geral das características dos elevadores, plataforma elevatória e demais equipamentos inerentes ao sistema em questão, avaliando, assim, o estado atual de conservação de seus componentes e o grau de dificuldade inerente à execução do objeto contratual.</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Alteração Subjetiva</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w:t>
      </w:r>
      <w:r>
        <w:rPr>
          <w:rStyle w:val="Fontepargpadro1"/>
          <w:rFonts w:ascii="Times New Roman" w:eastAsia="Arial" w:hAnsi="Times New Roman" w:cs="Times New Roman"/>
          <w:szCs w:val="24"/>
          <w:lang w:eastAsia="ar-SA" w:bidi="ar-SA"/>
        </w:rPr>
        <w:lastRenderedPageBreak/>
        <w:t>do contrato; não haja prejuízo à execução do objeto pactuado e haja a anuência expressa da Administração à continuidade do contrato.</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 xml:space="preserve"> Critérios e Práticas de Sustentabilidade</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Legislação pertinente:.</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Decreto nº 7.746/2012, que regulamenta o art. 3º da Lei nº 8.666, de 21 de junho de 1993, estabelecendo critérios, práticas e diretrizes para a promoção do desenvolvimento nacional sustentável nas contratações realizadas pela Administração Pública Federal, e institui a Comissão Interministerial de Sustentabilidade na Administração Pública (Cisap).</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Instrução Normativa SLTI/MPOG nº 1, de 19 de janeiro de 2010, que dispõe sobre os critérios de sustentabilidade ambiental na aquisição de bens, contratação de serviços ou obras pela Administração Pública Federal direta, autárquica e fundacional e dá outras providências.</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Decreto nº 99.658, de 30 de outubro de 1990, que regulamenta, no âmbito da Administração Pública Federal, o reaproveitamento, a movimentação, a alienação e outras formas de desfazimento de material.</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Resolução Conama n° 401, de 4 de novembro de 2008, que estabelece os limites máximos de chumbo, cádmio e mercúrio para pilhas e baterias comercializadas no território nacional e os critérios padrões para o seu gerenciamento ambientalmente adequado, e dá outras providências.</w:t>
      </w:r>
    </w:p>
    <w:p w:rsidR="007A538C" w:rsidRDefault="00A16C4F">
      <w:pPr>
        <w:numPr>
          <w:ilvl w:val="2"/>
          <w:numId w:val="24"/>
        </w:numPr>
        <w:tabs>
          <w:tab w:val="left" w:pos="-4320"/>
          <w:tab w:val="left" w:pos="-3611"/>
          <w:tab w:val="left" w:pos="-2902"/>
        </w:tabs>
        <w:autoSpaceDE/>
        <w:spacing w:after="240" w:line="360" w:lineRule="auto"/>
        <w:jc w:val="both"/>
      </w:pPr>
      <w:r>
        <w:rPr>
          <w:rStyle w:val="fontstyle01"/>
          <w:rFonts w:ascii="Times New Roman" w:hAnsi="Times New Roman" w:cs="Times New Roman"/>
          <w:sz w:val="24"/>
          <w:szCs w:val="24"/>
        </w:rPr>
        <w:t xml:space="preserve">Art. 33, inciso VI, da Lei Federal nº 12.305/2010, que dispõe sobre a Política Nacional de Resíduos Sólidos, de abrangência nacional, determina que os fabricantes, importadores, distribuidores e comerciantes de produtos eletro-eletrônicos e seus componentes são obrigados a estruturar e implementar sistemas de logística reversa, </w:t>
      </w:r>
      <w:r>
        <w:rPr>
          <w:rStyle w:val="fontstyle01"/>
          <w:rFonts w:ascii="Times New Roman" w:hAnsi="Times New Roman" w:cs="Times New Roman"/>
          <w:sz w:val="24"/>
          <w:szCs w:val="24"/>
        </w:rPr>
        <w:lastRenderedPageBreak/>
        <w:t>mediante retorno dos produtos e embalagens após o uso pelo consumidor, de forma independente do serviço público de limpeza urbana e de manejo dos resíduos sólidos.</w:t>
      </w:r>
    </w:p>
    <w:p w:rsidR="007A538C" w:rsidRDefault="00A16C4F">
      <w:pPr>
        <w:numPr>
          <w:ilvl w:val="1"/>
          <w:numId w:val="24"/>
        </w:numPr>
        <w:tabs>
          <w:tab w:val="left" w:pos="-3240"/>
          <w:tab w:val="left" w:pos="-2531"/>
          <w:tab w:val="left" w:pos="-1822"/>
        </w:tabs>
        <w:autoSpaceDE/>
        <w:snapToGrid w:val="0"/>
        <w:spacing w:after="240" w:line="360" w:lineRule="auto"/>
        <w:jc w:val="both"/>
      </w:pPr>
      <w:r>
        <w:rPr>
          <w:rStyle w:val="fontstyle01"/>
          <w:rFonts w:ascii="Times New Roman" w:eastAsia="Times New Roman" w:hAnsi="Times New Roman" w:cs="Times New Roman"/>
          <w:sz w:val="24"/>
          <w:szCs w:val="24"/>
        </w:rPr>
        <w:t>Determinações aplicadas ao fornecimento de peças/equipamentos:</w:t>
      </w:r>
    </w:p>
    <w:p w:rsidR="007A538C" w:rsidRDefault="00A16C4F">
      <w:pPr>
        <w:numPr>
          <w:ilvl w:val="2"/>
          <w:numId w:val="24"/>
        </w:numPr>
        <w:tabs>
          <w:tab w:val="left" w:pos="-4320"/>
          <w:tab w:val="left" w:pos="-3611"/>
          <w:tab w:val="left" w:pos="-2902"/>
        </w:tabs>
        <w:autoSpaceDE/>
        <w:snapToGrid w:val="0"/>
        <w:spacing w:after="240" w:line="360" w:lineRule="auto"/>
        <w:jc w:val="both"/>
      </w:pPr>
      <w:r>
        <w:rPr>
          <w:rStyle w:val="fontstyle01"/>
          <w:rFonts w:ascii="Times New Roman" w:eastAsia="Times New Roman" w:hAnsi="Times New Roman" w:cs="Times New Roman"/>
          <w:sz w:val="24"/>
          <w:szCs w:val="24"/>
        </w:rPr>
        <w:t xml:space="preserve"> As embalagens e os manuais devem ser confeccionados, preferencialmente, com materiais reciclados e atóxicos. </w:t>
      </w:r>
    </w:p>
    <w:p w:rsidR="007A538C" w:rsidRDefault="00A16C4F">
      <w:pPr>
        <w:numPr>
          <w:ilvl w:val="2"/>
          <w:numId w:val="24"/>
        </w:numPr>
        <w:tabs>
          <w:tab w:val="left" w:pos="-4320"/>
          <w:tab w:val="left" w:pos="-3611"/>
          <w:tab w:val="left" w:pos="-2902"/>
        </w:tabs>
        <w:autoSpaceDE/>
        <w:snapToGrid w:val="0"/>
        <w:spacing w:after="240" w:line="360" w:lineRule="auto"/>
        <w:jc w:val="both"/>
      </w:pPr>
      <w:r>
        <w:rPr>
          <w:rStyle w:val="fontstyle01"/>
          <w:rFonts w:ascii="Times New Roman" w:eastAsia="Times New Roman" w:hAnsi="Times New Roman" w:cs="Times New Roman"/>
          <w:sz w:val="24"/>
          <w:szCs w:val="24"/>
        </w:rPr>
        <w:t xml:space="preserve"> A CONTRATADA, na qualidade de produtora, comerciante ou importadora, deverá providenciar o recolhimento e o adequado descarte do lixo tecnológico originário da contratação, entendido como aqueles produtos ou componentes eletroeletrônicos em desuso e sujeitos ao descarte final.</w:t>
      </w:r>
    </w:p>
    <w:p w:rsidR="007A538C" w:rsidRDefault="007A538C">
      <w:pPr>
        <w:tabs>
          <w:tab w:val="left" w:pos="709"/>
          <w:tab w:val="left" w:pos="1418"/>
        </w:tabs>
        <w:snapToGrid w:val="0"/>
        <w:spacing w:after="240" w:line="360" w:lineRule="auto"/>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Controle da Execução</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Nos termos do art. 67 Lei nº 8.666, de 1993, será designado representante para acompanhar e fiscalizar a realização dos serviços.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As decisões e providências que ultrapassarem a competência do representante deverão ser solicitadas ao seu gestor, em tempo hábil para adoção das medidas convenientes (Art. 67, §2º Lei 8.666/93).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contrato Assinado ou a ordem de serviço acompanhada da Nota de Empenho constituirão documentos de autorização para a execução dos serviços.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O Conselho Nacional do Ministério Público, poderá rejeitar o objeto contratado, no todo ou em parte, se em desacordo com o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Quaisquer exigências da Fiscalização, inerentes ao Objeto da presente contratação, deverão ser prontamente atendidas pela Contratada.</w:t>
      </w:r>
    </w:p>
    <w:p w:rsidR="007A538C" w:rsidRDefault="007A538C">
      <w:pPr>
        <w:spacing w:line="360" w:lineRule="auto"/>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 xml:space="preserve"> Da vigência e execução do contrato</w:t>
      </w:r>
    </w:p>
    <w:p w:rsidR="007A538C" w:rsidRDefault="007A538C">
      <w:pPr>
        <w:tabs>
          <w:tab w:val="left" w:pos="709"/>
          <w:tab w:val="left" w:pos="1418"/>
        </w:tabs>
        <w:snapToGrid w:val="0"/>
        <w:spacing w:after="240" w:line="360" w:lineRule="auto"/>
        <w:jc w:val="both"/>
        <w:rPr>
          <w:rFonts w:ascii="Times New Roman" w:eastAsia="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presente contrato terá vigência por 12 (doze) meses, contados a partir da data de sua assinatura, podendo a critério da Administração, ser prorrogado por iguais e sucessivos períodos, até o limite de 60 (sessenta) meses, conforme art. 57, inciso II da Lei 8.666/1993.</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prazo de início da execução dos serviços será de no máximo 01 (um) dia útil, contado do recebimento da ordem de serviço</w:t>
      </w:r>
      <w:r>
        <w:rPr>
          <w:rFonts w:ascii="Times New Roman" w:hAnsi="Times New Roman" w:cs="Times New Roman"/>
          <w:szCs w:val="24"/>
        </w:rPr>
        <w:t>.</w:t>
      </w: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Do Reajuste</w:t>
      </w:r>
    </w:p>
    <w:p w:rsidR="007A538C" w:rsidRDefault="007A538C">
      <w:pPr>
        <w:spacing w:line="360" w:lineRule="auto"/>
        <w:jc w:val="both"/>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Índice Geral de Preços- Disponibilidade Interna – IGP-DI, mantido pela Fundação Getúlio Vargas – FGV, ou, na insubsistência deste, por outro índice que vier a substituí-lo.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Os reajustes deverão ser precedidos de solicitação da CONTRATADA.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A CONTRATADA deverá exercer o direito ao reajuste até a data da prorrogação contratual subsequente, sendo que se não o fizer de forma tempestiva e, por via de consequência, prorrogar o contrato sem pleitear o respectivo reajuste, ocorrerá a </w:t>
      </w:r>
      <w:r>
        <w:rPr>
          <w:rStyle w:val="Fontepargpadro1"/>
          <w:rFonts w:ascii="Times New Roman" w:eastAsia="Arial" w:hAnsi="Times New Roman" w:cs="Times New Roman"/>
          <w:szCs w:val="24"/>
          <w:lang w:eastAsia="ar-SA" w:bidi="ar-SA"/>
        </w:rPr>
        <w:lastRenderedPageBreak/>
        <w:t>preclusão do seu direito a reajustar o contrato.</w:t>
      </w:r>
    </w:p>
    <w:p w:rsidR="007A538C" w:rsidRDefault="007A538C">
      <w:pPr>
        <w:widowControl/>
        <w:tabs>
          <w:tab w:val="left" w:pos="-15"/>
          <w:tab w:val="left" w:pos="0"/>
        </w:tabs>
        <w:snapToGrid w:val="0"/>
        <w:jc w:val="both"/>
        <w:rPr>
          <w:rFonts w:ascii="Times New Roman" w:hAnsi="Times New Roman" w:cs="Times New Roman"/>
        </w:rPr>
      </w:pPr>
    </w:p>
    <w:p w:rsidR="007A538C" w:rsidRDefault="007A538C">
      <w:pPr>
        <w:widowControl/>
        <w:tabs>
          <w:tab w:val="left" w:pos="-15"/>
          <w:tab w:val="left" w:pos="0"/>
        </w:tabs>
        <w:snapToGrid w:val="0"/>
        <w:jc w:val="both"/>
        <w:rPr>
          <w:rFonts w:ascii="Times New Roman" w:hAnsi="Times New Roman" w:cs="Times New Roman"/>
        </w:rPr>
      </w:pPr>
    </w:p>
    <w:p w:rsidR="007A538C" w:rsidRDefault="007A538C">
      <w:pPr>
        <w:widowControl/>
        <w:tabs>
          <w:tab w:val="left" w:pos="-15"/>
          <w:tab w:val="left" w:pos="0"/>
        </w:tabs>
        <w:snapToGrid w:val="0"/>
        <w:jc w:val="both"/>
        <w:rPr>
          <w:rFonts w:ascii="Times New Roman" w:hAnsi="Times New Roman" w:cs="Times New Roman"/>
        </w:rPr>
      </w:pPr>
    </w:p>
    <w:p w:rsidR="007A538C" w:rsidRDefault="007A538C">
      <w:pPr>
        <w:widowControl/>
        <w:tabs>
          <w:tab w:val="left" w:pos="-15"/>
          <w:tab w:val="left" w:pos="0"/>
        </w:tabs>
        <w:snapToGrid w:val="0"/>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Dos Acréscimos e Supressões</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widowControl/>
        <w:tabs>
          <w:tab w:val="left" w:pos="-15"/>
          <w:tab w:val="left" w:pos="0"/>
        </w:tabs>
        <w:snapToGrid w:val="0"/>
        <w:jc w:val="both"/>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Das Sanções Administrativas</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CONTRATADA ficará sujeita às penalidades previstas nas Leis nº 10.520/2002 e 8.666/93 em caso de descumprimento de quaisquer das cláusulas ou condições do presente contrato.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Advertência;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Multa, nas seguintes hipóteses e nas demais previstas na tabela de penalidades deste termo de referência:</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Multa moratória de 1 % sobre o valor total da contratação, por dia de atraso injustificado, limitada sua aplicação até o máximo de 10 dias, situação que poderá caracterizar inexecução parcial do contrato.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Pela caracterização de inexecução parcial do objeto contratado, será aplicada multa de até 20% do valor global do contrato.</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Após o 30 dias de atraso, os serviços poderão, a critério do CONTRATANTE, não mais ser aceitos, configurando-se a inexecução total do Contrato, com as consequências previstas em lei e neste instrumento .</w:t>
      </w:r>
    </w:p>
    <w:p w:rsidR="007A538C" w:rsidRDefault="00A16C4F">
      <w:pPr>
        <w:pStyle w:val="Corpodetexto"/>
        <w:numPr>
          <w:ilvl w:val="3"/>
          <w:numId w:val="24"/>
        </w:numPr>
        <w:tabs>
          <w:tab w:val="left" w:pos="-5771"/>
          <w:tab w:val="left" w:pos="-5400"/>
          <w:tab w:val="left" w:pos="-5062"/>
        </w:tabs>
        <w:autoSpaceDE/>
        <w:snapToGrid w:val="0"/>
        <w:spacing w:after="240" w:line="360" w:lineRule="auto"/>
        <w:jc w:val="both"/>
      </w:pPr>
      <w:r>
        <w:rPr>
          <w:rStyle w:val="Fontepargpadro1"/>
          <w:rFonts w:ascii="Times New Roman" w:eastAsia="Arial" w:hAnsi="Times New Roman" w:cs="Times New Roman"/>
          <w:szCs w:val="24"/>
          <w:lang w:eastAsia="ar-SA" w:bidi="ar-SA"/>
        </w:rPr>
        <w:t>Pela caracterização de inexecução total do objeto contratado, será aplicada multa de até 30% do valor global do contrato.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Suspensão temporária de participação em licitação e impedimento de contratar com o CNMP, por até 02 (dois) anos;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w:t>
      </w:r>
      <w:r>
        <w:rPr>
          <w:rStyle w:val="Fontepargpadro1"/>
          <w:rFonts w:ascii="Times New Roman" w:eastAsia="Arial" w:hAnsi="Times New Roman" w:cs="Times New Roman"/>
          <w:szCs w:val="24"/>
          <w:lang w:eastAsia="ar-SA" w:bidi="ar-SA"/>
        </w:rPr>
        <w:lastRenderedPageBreak/>
        <w:t>consoante o § 3º do art. 86 e § 1º do art. 87 da Lei n.º 8.666/93, acrescida de juros moratórios de 1,0% (um por cento) ao mês.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Tenham sofrido condenação definitiva por praticarem, por meios dolosos, fraudes fiscais no recolhimento de quaisquer tributos;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Tenham praticado atos ilícitos visando a frustrar os objetivos da licitação;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Demonstrem não possuir idoneidade para contratar com a Administração em virtude de atos ilícitos praticados.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Da aplicação das penas definidas no caput e no § 1º do art. 87, da Lei n.º 8.666/93, exceto para aquela definida no inciso IV, caberá recurso no prazo de 05(cinco) dias úteis da data de intimação do ato.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Na comunicação da aplicação da penalidade de que trata o item anterior, serão informados o nome e a lotação da autoridade que aplicou a sanção, bem como daquela competente para decidir sobre o recurso.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spacing w:line="360" w:lineRule="auto"/>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Tabela de Penalidades</w:t>
      </w:r>
    </w:p>
    <w:p w:rsidR="007A538C" w:rsidRDefault="007A538C">
      <w:pPr>
        <w:spacing w:line="360" w:lineRule="auto"/>
        <w:rPr>
          <w:rFonts w:ascii="Times New Roman" w:hAnsi="Times New Roman" w:cs="Times New Roman"/>
        </w:rPr>
      </w:pPr>
    </w:p>
    <w:p w:rsidR="007A538C" w:rsidRDefault="00A16C4F">
      <w:pPr>
        <w:spacing w:line="360" w:lineRule="auto"/>
      </w:pPr>
      <w:r>
        <w:rPr>
          <w:rFonts w:ascii="Times New Roman" w:hAnsi="Times New Roman" w:cs="Times New Roman"/>
          <w:u w:val="single"/>
        </w:rPr>
        <w:t>Considerações iniciais</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não causam prejuízo à Administração;</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CONTRATADA após a notificação, diligencia para resolver o problema, fornecer o produto ou executar o serviço 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nas hipóteses que há elementos que sugerem que A CONTRATADA corrigirá seu procedimento.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suspensão temporária de participação em licitação e impedimento de contratar com o CNMP poderá ser aplicada nas hipóteses previstas no Art. 88 da Lei nº 8.666/93 e também nas seguintes:</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t>Descumprimento reiterado de obrigações fiscais e</w:t>
      </w:r>
    </w:p>
    <w:p w:rsidR="007A538C" w:rsidRDefault="00A16C4F">
      <w:pPr>
        <w:pStyle w:val="Corpodetexto"/>
        <w:numPr>
          <w:ilvl w:val="2"/>
          <w:numId w:val="24"/>
        </w:numPr>
        <w:tabs>
          <w:tab w:val="left" w:pos="-4691"/>
          <w:tab w:val="left" w:pos="-4320"/>
          <w:tab w:val="left" w:pos="-3982"/>
        </w:tabs>
        <w:autoSpaceDE/>
        <w:snapToGrid w:val="0"/>
        <w:spacing w:after="240" w:line="360" w:lineRule="auto"/>
        <w:jc w:val="both"/>
      </w:pPr>
      <w:r>
        <w:rPr>
          <w:rStyle w:val="Fontepargpadro1"/>
          <w:rFonts w:ascii="Times New Roman" w:eastAsia="Arial" w:hAnsi="Times New Roman" w:cs="Times New Roman"/>
          <w:szCs w:val="24"/>
          <w:lang w:eastAsia="ar-SA" w:bidi="ar-SA"/>
        </w:rPr>
        <w:lastRenderedPageBreak/>
        <w:t>Cometimento de infrações graves, muito graves e gravíssimas, considerando os prejuízos causados à CONTRATANTE e as circunstâncias no caso concreto.</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multa poderá ser acumulada com quaisquer outras sanções e será aplicada na seguinte forma:</w:t>
      </w:r>
    </w:p>
    <w:p w:rsidR="007A538C" w:rsidRDefault="00A16C4F">
      <w:pPr>
        <w:spacing w:line="360" w:lineRule="auto"/>
        <w:jc w:val="center"/>
        <w:rPr>
          <w:rFonts w:ascii="Times New Roman" w:hAnsi="Times New Roman" w:cs="Times New Roman"/>
        </w:rPr>
      </w:pPr>
      <w:r>
        <w:rPr>
          <w:rFonts w:ascii="Times New Roman" w:hAnsi="Times New Roman" w:cs="Times New Roman"/>
        </w:rPr>
        <w:t>Tabela 1: Percentual máximo para as infrações previstas na Lei 10.520/2002</w:t>
      </w:r>
    </w:p>
    <w:tbl>
      <w:tblPr>
        <w:tblW w:w="9638" w:type="dxa"/>
        <w:tblInd w:w="55" w:type="dxa"/>
        <w:tblLayout w:type="fixed"/>
        <w:tblCellMar>
          <w:left w:w="10" w:type="dxa"/>
          <w:right w:w="10" w:type="dxa"/>
        </w:tblCellMar>
        <w:tblLook w:val="0000" w:firstRow="0" w:lastRow="0" w:firstColumn="0" w:lastColumn="0" w:noHBand="0" w:noVBand="0"/>
      </w:tblPr>
      <w:tblGrid>
        <w:gridCol w:w="4818"/>
        <w:gridCol w:w="4820"/>
      </w:tblGrid>
      <w:tr w:rsidR="007A538C">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MULTA (% sobre o valor global do contrato)</w:t>
            </w:r>
          </w:p>
        </w:tc>
      </w:tr>
      <w:tr w:rsidR="007A538C">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 apresentação de documentação falsa</w:t>
            </w:r>
          </w:p>
          <w:p w:rsidR="007A538C" w:rsidRDefault="00A16C4F">
            <w:pPr>
              <w:spacing w:line="360" w:lineRule="auto"/>
              <w:rPr>
                <w:rFonts w:ascii="Times New Roman" w:hAnsi="Times New Roman" w:cs="Times New Roman"/>
              </w:rPr>
            </w:pPr>
            <w:r>
              <w:rPr>
                <w:rFonts w:ascii="Times New Roman" w:hAnsi="Times New Roman" w:cs="Times New Roman"/>
              </w:rPr>
              <w:t>2) fraude na execução contratual</w:t>
            </w:r>
          </w:p>
          <w:p w:rsidR="007A538C" w:rsidRDefault="00A16C4F">
            <w:pPr>
              <w:spacing w:line="360" w:lineRule="auto"/>
              <w:rPr>
                <w:rFonts w:ascii="Times New Roman" w:hAnsi="Times New Roman" w:cs="Times New Roman"/>
              </w:rPr>
            </w:pPr>
            <w:r>
              <w:rPr>
                <w:rFonts w:ascii="Times New Roman" w:hAnsi="Times New Roman" w:cs="Times New Roman"/>
              </w:rPr>
              <w:t>3) comportamento inidôneo</w:t>
            </w:r>
          </w:p>
          <w:p w:rsidR="007A538C" w:rsidRDefault="00A16C4F">
            <w:pPr>
              <w:spacing w:line="360" w:lineRule="auto"/>
              <w:rPr>
                <w:rFonts w:ascii="Times New Roman" w:hAnsi="Times New Roman" w:cs="Times New Roman"/>
              </w:rPr>
            </w:pPr>
            <w:r>
              <w:rPr>
                <w:rFonts w:ascii="Times New Roman" w:hAnsi="Times New Roman" w:cs="Times New Roman"/>
              </w:rPr>
              <w:t>4) fraude fiscal</w:t>
            </w:r>
          </w:p>
          <w:p w:rsidR="007A538C" w:rsidRDefault="00A16C4F">
            <w:pPr>
              <w:spacing w:line="360" w:lineRule="auto"/>
              <w:rPr>
                <w:rFonts w:ascii="Times New Roman" w:hAnsi="Times New Roman" w:cs="Times New Roman"/>
              </w:rPr>
            </w:pPr>
            <w:r>
              <w:rPr>
                <w:rFonts w:ascii="Times New Roman" w:hAnsi="Times New Roman" w:cs="Times New Roman"/>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spacing w:line="360" w:lineRule="auto"/>
              <w:rPr>
                <w:rFonts w:ascii="Times New Roman" w:hAnsi="Times New Roman" w:cs="Times New Roman"/>
              </w:rPr>
            </w:pPr>
          </w:p>
          <w:p w:rsidR="007A538C" w:rsidRDefault="007A538C">
            <w:pPr>
              <w:spacing w:line="360" w:lineRule="auto"/>
              <w:rPr>
                <w:rFonts w:ascii="Times New Roman" w:hAnsi="Times New Roman" w:cs="Times New Roman"/>
              </w:rPr>
            </w:pPr>
          </w:p>
          <w:p w:rsidR="007A538C" w:rsidRDefault="00A16C4F">
            <w:pPr>
              <w:spacing w:line="360" w:lineRule="auto"/>
              <w:rPr>
                <w:rFonts w:ascii="Times New Roman" w:hAnsi="Times New Roman" w:cs="Times New Roman"/>
              </w:rPr>
            </w:pPr>
            <w:r>
              <w:rPr>
                <w:rFonts w:ascii="Times New Roman" w:hAnsi="Times New Roman" w:cs="Times New Roman"/>
              </w:rPr>
              <w:t>Até 30% (trinta por cento)</w:t>
            </w:r>
          </w:p>
        </w:tc>
      </w:tr>
      <w:tr w:rsidR="007A538C">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 inexecução parcial</w:t>
            </w:r>
          </w:p>
          <w:p w:rsidR="007A538C" w:rsidRDefault="00A16C4F">
            <w:pPr>
              <w:spacing w:line="360" w:lineRule="auto"/>
              <w:rPr>
                <w:rFonts w:ascii="Times New Roman" w:hAnsi="Times New Roman" w:cs="Times New Roman"/>
              </w:rPr>
            </w:pPr>
            <w:r>
              <w:rPr>
                <w:rFonts w:ascii="Times New Roman" w:hAnsi="Times New Roman"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Até 20% (vinte por cento)</w:t>
            </w:r>
          </w:p>
        </w:tc>
      </w:tr>
    </w:tbl>
    <w:p w:rsidR="007A538C" w:rsidRDefault="007A538C">
      <w:pPr>
        <w:spacing w:line="360" w:lineRule="auto"/>
        <w:rPr>
          <w:rFonts w:ascii="Times New Roman" w:hAnsi="Times New Roman" w:cs="Times New Roman"/>
        </w:rPr>
      </w:pP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Além dessas, serão aplicadas multas, conforme as infrações cometidas e o nível de gravidade respectivo, indicados nas tabelas a seguir:</w:t>
      </w:r>
    </w:p>
    <w:p w:rsidR="007A538C" w:rsidRDefault="00A16C4F">
      <w:pPr>
        <w:spacing w:line="360" w:lineRule="auto"/>
        <w:jc w:val="center"/>
      </w:pPr>
      <w:r>
        <w:rPr>
          <w:rStyle w:val="Fontepargpadro1"/>
          <w:rFonts w:ascii="Times New Roman" w:eastAsia="TTE4D8A148t00" w:hAnsi="Times New Roman" w:cs="Times New Roman"/>
        </w:rPr>
        <w:t>Tabela 2: Classificação das infrações e multas</w:t>
      </w:r>
      <w:r>
        <w:rPr>
          <w:rStyle w:val="Fontepargpadro1"/>
          <w:rFonts w:ascii="Times New Roman" w:hAnsi="Times New Roman" w:cs="Times New Roman"/>
        </w:rPr>
        <w:tab/>
      </w:r>
    </w:p>
    <w:tbl>
      <w:tblPr>
        <w:tblW w:w="6295" w:type="dxa"/>
        <w:tblInd w:w="1568" w:type="dxa"/>
        <w:tblLayout w:type="fixed"/>
        <w:tblCellMar>
          <w:left w:w="10" w:type="dxa"/>
          <w:right w:w="10" w:type="dxa"/>
        </w:tblCellMar>
        <w:tblLook w:val="0000" w:firstRow="0" w:lastRow="0" w:firstColumn="0" w:lastColumn="0" w:noHBand="0" w:noVBand="0"/>
      </w:tblPr>
      <w:tblGrid>
        <w:gridCol w:w="2484"/>
        <w:gridCol w:w="3811"/>
      </w:tblGrid>
      <w:tr w:rsidR="007A538C">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CORRESPONDÊNCIA</w:t>
            </w:r>
          </w:p>
          <w:p w:rsidR="007A538C" w:rsidRDefault="00A16C4F">
            <w:pPr>
              <w:spacing w:line="360" w:lineRule="auto"/>
              <w:rPr>
                <w:rFonts w:ascii="Times New Roman" w:hAnsi="Times New Roman" w:cs="Times New Roman"/>
              </w:rPr>
            </w:pPr>
            <w:r>
              <w:rPr>
                <w:rFonts w:ascii="Times New Roman" w:hAnsi="Times New Roman" w:cs="Times New Roman"/>
              </w:rPr>
              <w:t xml:space="preserve">(por ocorrência sobre o valor global </w:t>
            </w:r>
            <w:r>
              <w:rPr>
                <w:rFonts w:ascii="Times New Roman" w:hAnsi="Times New Roman" w:cs="Times New Roman"/>
              </w:rPr>
              <w:lastRenderedPageBreak/>
              <w:t>do CONTRATADA)</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0,2%.</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0,4%.</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0,8%.</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1,6%.</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3,2%.</w:t>
            </w:r>
          </w:p>
        </w:tc>
      </w:tr>
      <w:tr w:rsidR="007A538C">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r>
    </w:tbl>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Todas as ocorrências contratuais serão registradas pelo CONTRANTE, que notificará a CONTRATADA dos registros. Serão atribuídos níveis para as ocorrências, conforme tabela abaixo:</w:t>
      </w:r>
    </w:p>
    <w:p w:rsidR="007A538C" w:rsidRDefault="00A16C4F">
      <w:pPr>
        <w:spacing w:line="360" w:lineRule="auto"/>
        <w:jc w:val="center"/>
        <w:rPr>
          <w:rFonts w:ascii="Times New Roman" w:hAnsi="Times New Roman" w:cs="Times New Roman"/>
        </w:rPr>
      </w:pPr>
      <w:r>
        <w:rPr>
          <w:rFonts w:ascii="Times New Roman" w:hAnsi="Times New Roman" w:cs="Times New Roman"/>
        </w:rPr>
        <w:t>Tabela 3: Infrações e correspondentes níveis</w:t>
      </w:r>
    </w:p>
    <w:tbl>
      <w:tblPr>
        <w:tblW w:w="9075" w:type="dxa"/>
        <w:tblInd w:w="384" w:type="dxa"/>
        <w:tblLayout w:type="fixed"/>
        <w:tblCellMar>
          <w:left w:w="10" w:type="dxa"/>
          <w:right w:w="10" w:type="dxa"/>
        </w:tblCellMar>
        <w:tblLook w:val="0000" w:firstRow="0" w:lastRow="0" w:firstColumn="0" w:lastColumn="0" w:noHBand="0" w:noVBand="0"/>
      </w:tblPr>
      <w:tblGrid>
        <w:gridCol w:w="621"/>
        <w:gridCol w:w="7764"/>
        <w:gridCol w:w="690"/>
      </w:tblGrid>
      <w:tr w:rsidR="007A538C">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INFRAÇÃO</w:t>
            </w:r>
          </w:p>
        </w:tc>
      </w:tr>
      <w:tr w:rsidR="007A538C">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Nível</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R</w:t>
            </w:r>
            <w:r>
              <w:rPr>
                <w:rStyle w:val="Fontepargpadro1"/>
                <w:rFonts w:ascii="Times New Roman" w:eastAsia="Lucida Sans Unicode" w:hAnsi="Times New Roman" w:cs="Times New Roman"/>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 xml:space="preserve">Deixar de relacionar-se com o CONTRATANTE, exclusivamente, por meio do </w:t>
            </w:r>
            <w:r>
              <w:rPr>
                <w:rFonts w:ascii="Times New Roman" w:hAnsi="Times New Roman" w:cs="Times New Roman"/>
              </w:rPr>
              <w:lastRenderedPageBreak/>
              <w:t>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3</w:t>
            </w:r>
          </w:p>
        </w:tc>
      </w:tr>
      <w:tr w:rsidR="007A538C">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r</w:t>
            </w:r>
            <w:r>
              <w:rPr>
                <w:rStyle w:val="Fontepargpadro1"/>
                <w:rFonts w:ascii="Times New Roman" w:hAnsi="Times New Roman" w:cs="Times New Roman"/>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r</w:t>
            </w:r>
            <w:r>
              <w:rPr>
                <w:rStyle w:val="Fontepargpadro1"/>
                <w:rFonts w:ascii="Times New Roman" w:hAnsi="Times New Roman" w:cs="Times New Roman"/>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m</w:t>
            </w:r>
            <w:r>
              <w:rPr>
                <w:rStyle w:val="Fontepargpadro1"/>
                <w:rFonts w:ascii="Times New Roman" w:hAnsi="Times New Roman" w:cs="Times New Roman"/>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m</w:t>
            </w:r>
            <w:r>
              <w:rPr>
                <w:rStyle w:val="Fontepargpadro1"/>
                <w:rFonts w:ascii="Times New Roman" w:hAnsi="Times New Roman"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Fonts w:ascii="Times New Roman" w:hAnsi="Times New Roman" w:cs="Times New Roman"/>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pPr>
            <w:r>
              <w:rPr>
                <w:rStyle w:val="Fontepargpadro1"/>
                <w:rFonts w:ascii="Times New Roman" w:eastAsia="ZurichBT-Light" w:hAnsi="Times New Roman" w:cs="Times New Roman"/>
              </w:rPr>
              <w:t>Deixar de r</w:t>
            </w:r>
            <w:r>
              <w:rPr>
                <w:rStyle w:val="Fontepargpadro1"/>
                <w:rFonts w:ascii="Times New Roman" w:hAnsi="Times New Roman" w:cs="Times New Roman"/>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 xml:space="preserve">Após solicitado pelo fiscal, deixar de encaminhar documentos fiscais e todas documentações determinadas pelo fiscal do contrato para efeitos de atestar os </w:t>
            </w:r>
            <w:r>
              <w:rPr>
                <w:rFonts w:ascii="Times New Roman" w:hAnsi="Times New Roman" w:cs="Times New Roman"/>
              </w:rPr>
              <w:lastRenderedPageBreak/>
              <w:t>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4</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r>
      <w:tr w:rsidR="007A538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r>
    </w:tbl>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Em caso de registro de infração na qual a CONTRATADA apresente justificativa razoável e aceita pelo fiscal do contrato, o nível da infração poderá ser desconsiderado ou inserido em uma categoria de menor gravidade.</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A inexecução parcial ou total do contrato será configurada, entre outras hipóteses, na ocorrência de, pelo menos, uma das seguintes situações:</w:t>
      </w:r>
    </w:p>
    <w:p w:rsidR="007A538C" w:rsidRDefault="00A16C4F">
      <w:pPr>
        <w:spacing w:line="360" w:lineRule="auto"/>
        <w:jc w:val="center"/>
        <w:rPr>
          <w:rFonts w:ascii="Times New Roman" w:hAnsi="Times New Roman" w:cs="Times New Roman"/>
        </w:rPr>
      </w:pPr>
      <w:r>
        <w:rPr>
          <w:rFonts w:ascii="Times New Roman" w:hAnsi="Times New Roman" w:cs="Times New Roman"/>
        </w:rPr>
        <w:t>Tabela 4: Qualificação da inexecução contratual</w:t>
      </w:r>
    </w:p>
    <w:tbl>
      <w:tblPr>
        <w:tblW w:w="5479" w:type="dxa"/>
        <w:tblInd w:w="2127" w:type="dxa"/>
        <w:tblLayout w:type="fixed"/>
        <w:tblCellMar>
          <w:left w:w="10" w:type="dxa"/>
          <w:right w:w="10" w:type="dxa"/>
        </w:tblCellMar>
        <w:tblLook w:val="0000" w:firstRow="0" w:lastRow="0" w:firstColumn="0" w:lastColumn="0" w:noHBand="0" w:noVBand="0"/>
      </w:tblPr>
      <w:tblGrid>
        <w:gridCol w:w="1141"/>
        <w:gridCol w:w="2235"/>
        <w:gridCol w:w="2103"/>
      </w:tblGrid>
      <w:tr w:rsidR="007A538C">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A538C" w:rsidRDefault="007A538C">
            <w:pPr>
              <w:spacing w:line="360" w:lineRule="auto"/>
              <w:rPr>
                <w:rFonts w:ascii="Times New Roman" w:hAnsi="Times New Roman" w:cs="Times New Roman"/>
              </w:rPr>
            </w:pPr>
          </w:p>
          <w:p w:rsidR="007A538C" w:rsidRDefault="00A16C4F">
            <w:pPr>
              <w:spacing w:line="360" w:lineRule="auto"/>
              <w:rPr>
                <w:rFonts w:ascii="Times New Roman" w:hAnsi="Times New Roman" w:cs="Times New Roman"/>
              </w:rPr>
            </w:pPr>
            <w:r>
              <w:rPr>
                <w:rFonts w:ascii="Times New Roman" w:hAnsi="Times New Roman" w:cs="Times New Roman"/>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QUANTIDADE DE INFRAÇÕES</w:t>
            </w:r>
          </w:p>
        </w:tc>
      </w:tr>
      <w:tr w:rsidR="007A538C">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A538C" w:rsidRDefault="007A538C">
            <w:pPr>
              <w:rPr>
                <w:rFonts w:ascii="Times New Roman" w:hAnsi="Times New Roman"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Inexecução Total</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12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lastRenderedPageBreak/>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11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10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7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5 ou mais</w:t>
            </w:r>
          </w:p>
        </w:tc>
      </w:tr>
      <w:tr w:rsidR="007A538C">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A16C4F">
            <w:pPr>
              <w:spacing w:line="360" w:lineRule="auto"/>
              <w:rPr>
                <w:rFonts w:ascii="Times New Roman" w:hAnsi="Times New Roman" w:cs="Times New Roman"/>
              </w:rPr>
            </w:pPr>
            <w:r>
              <w:rPr>
                <w:rFonts w:ascii="Times New Roman" w:hAnsi="Times New Roman" w:cs="Times New Roman"/>
              </w:rPr>
              <w:t>3 ou mais</w:t>
            </w:r>
          </w:p>
        </w:tc>
      </w:tr>
    </w:tbl>
    <w:p w:rsidR="007A538C" w:rsidRDefault="007A538C">
      <w:pPr>
        <w:spacing w:line="360" w:lineRule="auto"/>
        <w:rPr>
          <w:rFonts w:ascii="Times New Roman" w:hAnsi="Times New Roman" w:cs="Times New Roman"/>
        </w:rPr>
      </w:pPr>
    </w:p>
    <w:p w:rsidR="007A538C" w:rsidRDefault="00A16C4F">
      <w:pPr>
        <w:pStyle w:val="western"/>
        <w:numPr>
          <w:ilvl w:val="0"/>
          <w:numId w:val="24"/>
        </w:numPr>
        <w:shd w:val="clear" w:color="auto" w:fill="CCCCCC"/>
        <w:tabs>
          <w:tab w:val="left" w:pos="0"/>
        </w:tabs>
        <w:spacing w:before="0" w:after="0"/>
        <w:ind w:left="425" w:right="0" w:hanging="450"/>
      </w:pPr>
      <w:r>
        <w:rPr>
          <w:rStyle w:val="Fontepargpadro1"/>
          <w:rFonts w:cs="Times New Roman"/>
          <w:b/>
          <w:bCs/>
        </w:rPr>
        <w:t>Do Acordo de Nível de Serviço.</w:t>
      </w:r>
    </w:p>
    <w:p w:rsidR="007A538C" w:rsidRDefault="007A538C">
      <w:pPr>
        <w:spacing w:line="360" w:lineRule="auto"/>
        <w:rPr>
          <w:rFonts w:ascii="Times New Roman" w:hAnsi="Times New Roman" w:cs="Times New Roman"/>
        </w:rPr>
      </w:pP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Os descontos previstos na tabela a seguir serão aplicados em caso de descumprimento dos padrões de qualidade e de prazo estabelecidas neste Termo de Referência.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 xml:space="preserve"> A identificação de ocorrência de um descumprimento previsto na tabela abaixo, sempre será precedida de comunicação formal do CONTRATANTE à CONTRATADA de forma a garantir o amplo direito de defesa.</w:t>
      </w:r>
    </w:p>
    <w:p w:rsidR="007A538C" w:rsidRDefault="00A16C4F">
      <w:pPr>
        <w:pStyle w:val="Corpodetexto"/>
        <w:numPr>
          <w:ilvl w:val="1"/>
          <w:numId w:val="24"/>
        </w:numPr>
        <w:tabs>
          <w:tab w:val="left" w:pos="-3611"/>
          <w:tab w:val="left" w:pos="-3240"/>
          <w:tab w:val="left" w:pos="-2902"/>
        </w:tabs>
        <w:autoSpaceDE/>
        <w:snapToGrid w:val="0"/>
        <w:spacing w:after="240" w:line="360" w:lineRule="auto"/>
        <w:jc w:val="both"/>
      </w:pPr>
      <w:r>
        <w:rPr>
          <w:rStyle w:val="Fontepargpadro1"/>
          <w:rFonts w:ascii="Times New Roman" w:eastAsia="Arial" w:hAnsi="Times New Roman" w:cs="Times New Roman"/>
          <w:szCs w:val="24"/>
          <w:lang w:eastAsia="ar-SA" w:bidi="ar-SA"/>
        </w:rPr>
        <w:t>Caso fique comprovado o descumprimento cometida pela CONTRATADA, o CONTRATANTE descontará do pagamento mensal os valores resultantes da aplicação dos percentuais relacionados abaixo em relação ao valor integral mensal, sem prejuízo de demais sanções e aplicação de penalidades previstas</w:t>
      </w:r>
    </w:p>
    <w:tbl>
      <w:tblPr>
        <w:tblW w:w="8685" w:type="dxa"/>
        <w:tblInd w:w="55" w:type="dxa"/>
        <w:tblLayout w:type="fixed"/>
        <w:tblCellMar>
          <w:left w:w="10" w:type="dxa"/>
          <w:right w:w="10" w:type="dxa"/>
        </w:tblCellMar>
        <w:tblLook w:val="0000" w:firstRow="0" w:lastRow="0" w:firstColumn="0" w:lastColumn="0" w:noHBand="0" w:noVBand="0"/>
      </w:tblPr>
      <w:tblGrid>
        <w:gridCol w:w="715"/>
        <w:gridCol w:w="3350"/>
        <w:gridCol w:w="1560"/>
        <w:gridCol w:w="3060"/>
      </w:tblGrid>
      <w:tr w:rsidR="007A538C">
        <w:tc>
          <w:tcPr>
            <w:tcW w:w="715"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Item</w:t>
            </w:r>
          </w:p>
        </w:tc>
        <w:tc>
          <w:tcPr>
            <w:tcW w:w="335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Condição Estabelecida</w:t>
            </w:r>
          </w:p>
        </w:tc>
        <w:tc>
          <w:tcPr>
            <w:tcW w:w="1560"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 xml:space="preserve">Incidência </w:t>
            </w:r>
          </w:p>
        </w:tc>
        <w:tc>
          <w:tcPr>
            <w:tcW w:w="306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Contedodetabela"/>
              <w:jc w:val="center"/>
              <w:rPr>
                <w:rFonts w:eastAsia="Times New Roman" w:cs="Times New Roman"/>
                <w:b/>
                <w:bCs/>
              </w:rPr>
            </w:pPr>
            <w:r>
              <w:rPr>
                <w:rFonts w:eastAsia="Times New Roman" w:cs="Times New Roman"/>
                <w:b/>
                <w:bCs/>
              </w:rPr>
              <w:t>PERCENTUAL</w:t>
            </w:r>
          </w:p>
          <w:p w:rsidR="007A538C" w:rsidRDefault="00A16C4F">
            <w:pPr>
              <w:pStyle w:val="Contedodetabela"/>
              <w:jc w:val="center"/>
            </w:pPr>
            <w:r>
              <w:rPr>
                <w:rFonts w:eastAsia="Times New Roman" w:cs="Times New Roman"/>
                <w:b/>
                <w:bCs/>
              </w:rPr>
              <w:t>(sobre o valor total do contrato )</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rPr>
                <w:rFonts w:ascii="Times New Roman" w:eastAsia="ArialMT" w:hAnsi="Times New Roman" w:cs="Times New Roman"/>
              </w:rPr>
            </w:pPr>
            <w:r>
              <w:rPr>
                <w:rFonts w:ascii="Times New Roman" w:eastAsia="ArialMT" w:hAnsi="Times New Roman" w:cs="Times New Roman"/>
              </w:rPr>
              <w:t>Entregar documentos técnicos e laudos técnicos relacionados à execução dos serviços nos prazos</w:t>
            </w:r>
          </w:p>
          <w:p w:rsidR="007A538C" w:rsidRDefault="00A16C4F">
            <w:r>
              <w:rPr>
                <w:rFonts w:ascii="Times New Roman" w:eastAsia="ArialMT" w:hAnsi="Times New Roman" w:cs="Times New Roman"/>
              </w:rPr>
              <w:t>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documento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pPr>
            <w:r>
              <w:rPr>
                <w:rFonts w:eastAsia="Times New Roman" w:cs="Times New Roman"/>
              </w:rPr>
              <w:t xml:space="preserve">0,15% por dia de atraso </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2</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eastAsia="ArialMT" w:hAnsi="Times New Roman" w:cs="Times New Roman"/>
              </w:rPr>
            </w:pPr>
          </w:p>
          <w:p w:rsidR="007A538C" w:rsidRDefault="00A16C4F">
            <w:r>
              <w:rPr>
                <w:rFonts w:ascii="Times New Roman" w:eastAsia="ArialMT" w:hAnsi="Times New Roman" w:cs="Times New Roman"/>
              </w:rPr>
              <w:t xml:space="preserve">Realizar as tarefas de manutenção preventiva previstas </w:t>
            </w:r>
            <w:r>
              <w:rPr>
                <w:rFonts w:ascii="Times New Roman" w:eastAsia="ArialMT" w:hAnsi="Times New Roman" w:cs="Times New Roman"/>
              </w:rPr>
              <w:lastRenderedPageBreak/>
              <w:t>no mês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lastRenderedPageBreak/>
              <w:t>Por OS</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 xml:space="preserve">Desconto de 0,08% por dia de atraso até o limite de 30 dias, em caso de atraso superior a </w:t>
            </w:r>
            <w:r>
              <w:rPr>
                <w:rFonts w:eastAsia="Times New Roman" w:cs="Times New Roman"/>
              </w:rPr>
              <w:lastRenderedPageBreak/>
              <w:t>30 dias, injustificado, será considerado descumprimento parcial do contrato.</w:t>
            </w:r>
          </w:p>
          <w:p w:rsidR="007A538C" w:rsidRDefault="007A538C">
            <w:pPr>
              <w:pStyle w:val="Contedodetabela"/>
              <w:rPr>
                <w:rFonts w:eastAsia="Times New Roman" w:cs="Times New Roman"/>
              </w:rPr>
            </w:pP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lastRenderedPageBreak/>
              <w:t>3</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rPr>
                <w:rFonts w:ascii="Times New Roman" w:eastAsia="ArialMT" w:hAnsi="Times New Roman" w:cs="Times New Roman"/>
              </w:rPr>
            </w:pPr>
          </w:p>
          <w:p w:rsidR="007A538C" w:rsidRDefault="00A16C4F">
            <w:r>
              <w:rPr>
                <w:rFonts w:ascii="Times New Roman" w:eastAsia="ArialMT" w:hAnsi="Times New Roman" w:cs="Times New Roman"/>
              </w:rPr>
              <w:t>Prestar atendimento de resgate de passageiros presos nos elevadores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pStyle w:val="Contedodetabela"/>
              <w:rPr>
                <w:rFonts w:eastAsia="Times New Roman" w:cs="Times New Roman"/>
              </w:rPr>
            </w:pPr>
          </w:p>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cada 30 minutos de atraso, sobre o valor do contrato, caso o atraso seja até o limite de 1 hora;</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30 minutos de atraso, sobre o valor do contrato, para o atraso acima de 1 hora até 2 horas</w:t>
            </w:r>
          </w:p>
          <w:p w:rsidR="007A538C" w:rsidRDefault="00A16C4F">
            <w:pPr>
              <w:pStyle w:val="Contedodetabela"/>
              <w:rPr>
                <w:rFonts w:eastAsia="Times New Roman" w:cs="Times New Roman"/>
              </w:rPr>
            </w:pPr>
            <w:r>
              <w:rPr>
                <w:rFonts w:eastAsia="Times New Roman" w:cs="Times New Roman"/>
              </w:rPr>
              <w:t xml:space="preserve">e  </w:t>
            </w:r>
          </w:p>
          <w:p w:rsidR="007A538C" w:rsidRDefault="00A16C4F">
            <w:pPr>
              <w:pStyle w:val="Contedodetabela"/>
              <w:rPr>
                <w:rFonts w:eastAsia="Times New Roman" w:cs="Times New Roman"/>
              </w:rPr>
            </w:pPr>
            <w:r>
              <w:rPr>
                <w:rFonts w:eastAsia="Times New Roman" w:cs="Times New Roman"/>
              </w:rPr>
              <w:t>em caso de atraso superior a 3 horas injustificado, será considerado descumprimento parcial do contrato.</w:t>
            </w:r>
          </w:p>
          <w:p w:rsidR="007A538C" w:rsidRDefault="007A538C">
            <w:pPr>
              <w:pStyle w:val="Contedodetabela"/>
              <w:rPr>
                <w:rFonts w:eastAsia="Times New Roman" w:cs="Times New Roman"/>
              </w:rPr>
            </w:pP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4</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Realizar manutenção corretiva de emergência nos prazos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cada hora de atraso, sobre o valor do contrato, caso o atraso seja até até o limite de 2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hora de atraso, sobre o valor do contrato, para o atraso acima de 2 horas até 4 horas</w:t>
            </w:r>
          </w:p>
          <w:p w:rsidR="007A538C" w:rsidRDefault="00A16C4F">
            <w:pPr>
              <w:pStyle w:val="Contedodetabela"/>
              <w:rPr>
                <w:rFonts w:eastAsia="Times New Roman" w:cs="Times New Roman"/>
              </w:rPr>
            </w:pPr>
            <w:r>
              <w:rPr>
                <w:rFonts w:eastAsia="Times New Roman" w:cs="Times New Roman"/>
              </w:rPr>
              <w:t xml:space="preserve">e  </w:t>
            </w:r>
          </w:p>
          <w:p w:rsidR="007A538C" w:rsidRDefault="00A16C4F">
            <w:pPr>
              <w:pStyle w:val="Contedodetabela"/>
            </w:pPr>
            <w:r>
              <w:rPr>
                <w:rFonts w:eastAsia="Times New Roman" w:cs="Times New Roman"/>
              </w:rPr>
              <w:t>em caso de atraso superior a 4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5</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rPr>
                <w:rFonts w:ascii="Times New Roman" w:eastAsia="ArialMT" w:hAnsi="Times New Roman" w:cs="Times New Roman"/>
              </w:rPr>
            </w:pPr>
          </w:p>
          <w:p w:rsidR="007A538C" w:rsidRDefault="007A538C">
            <w:pPr>
              <w:rPr>
                <w:rFonts w:ascii="Times New Roman" w:eastAsia="ArialMT" w:hAnsi="Times New Roman" w:cs="Times New Roman"/>
              </w:rPr>
            </w:pPr>
          </w:p>
          <w:p w:rsidR="007A538C" w:rsidRDefault="00A16C4F">
            <w:pPr>
              <w:rPr>
                <w:rFonts w:ascii="Times New Roman" w:eastAsia="ArialMT" w:hAnsi="Times New Roman" w:cs="Times New Roman"/>
              </w:rPr>
            </w:pPr>
            <w:r>
              <w:rPr>
                <w:rFonts w:ascii="Times New Roman" w:eastAsia="ArialMT" w:hAnsi="Times New Roman" w:cs="Times New Roman"/>
              </w:rPr>
              <w:t xml:space="preserve">Realizar manutenção corretiva para os defeitos que não prejudiquem a utilização e que não afetem a segurança dos </w:t>
            </w:r>
            <w:r>
              <w:rPr>
                <w:rFonts w:ascii="Times New Roman" w:eastAsia="ArialMT" w:hAnsi="Times New Roman" w:cs="Times New Roman"/>
              </w:rPr>
              <w:lastRenderedPageBreak/>
              <w:t>passageiros nos prazos estabelecidos neste termo</w:t>
            </w:r>
          </w:p>
          <w:p w:rsidR="007A538C" w:rsidRDefault="007A538C">
            <w:pPr>
              <w:rPr>
                <w:rFonts w:ascii="Times New Roman" w:eastAsia="ArialMT" w:hAnsi="Times New Roman" w:cs="Times New Roman"/>
              </w:rPr>
            </w:pPr>
          </w:p>
          <w:p w:rsidR="007A538C" w:rsidRDefault="007A538C">
            <w:pPr>
              <w:rPr>
                <w:rFonts w:ascii="Times New Roman" w:eastAsia="ArialMT" w:hAnsi="Times New Roman" w:cs="Times New Roman"/>
              </w:rPr>
            </w:pP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lastRenderedPageBreak/>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hora de atraso, sobre o valor do contrato, caso o atraso seja até o limite de 12 (doze)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 xml:space="preserve">Desconto de 0,25% por cada </w:t>
            </w:r>
            <w:r>
              <w:rPr>
                <w:rFonts w:eastAsia="Times New Roman" w:cs="Times New Roman"/>
              </w:rPr>
              <w:lastRenderedPageBreak/>
              <w:t>hora de atraso, sobre o valor do contrato, para o atraso acima de 12 horas até 24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superior a 24 (vinte e quatro)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7A538C">
            <w:pPr>
              <w:pStyle w:val="Contedodetabela"/>
              <w:jc w:val="center"/>
              <w:rPr>
                <w:rFonts w:eastAsia="Times New Roman" w:cs="Times New Roman"/>
              </w:rPr>
            </w:pPr>
          </w:p>
          <w:p w:rsidR="007A538C" w:rsidRDefault="00A16C4F">
            <w:pPr>
              <w:pStyle w:val="Contedodetabela"/>
              <w:jc w:val="center"/>
            </w:pPr>
            <w:r>
              <w:rPr>
                <w:rFonts w:eastAsia="Times New Roman" w:cs="Times New Roman"/>
              </w:rPr>
              <w:t>6</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Garantir a operação normal dos elevadores e fornecer as peças necessárias nos prazos e nas condições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hora de atraso, sobre o valor do contrato, caso o atraso seja até o limite de 24 (quatro)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hora de atraso, sobre o valor do contrato, para o atraso acima de 24 horas até 48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superior a 48 (quarenta e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7</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Atender os chamados para manutenção do sistema de monitoramento de tráfego TKVISION nos prazos e nas condições estabelecidos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de mais de 8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8</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Atender as condições de assistência técnica da garantia dos serviços e fornecimento de peças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lastRenderedPageBreak/>
              <w:t>em caso de atraso de mais de 8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lastRenderedPageBreak/>
              <w:t>9</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Fornecer materiais ou peças de responsabilidade da CONTRATADA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8 (oito)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de mais de 8 (oito)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10</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Engenheiros  (responsáveis técnicos) fornecerem suporte técnico conforme condições e prazos previstas neste Termo</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0,25% por hora de atraso, sobre o valor do contrato, caso o atraso seja até o limite de 4 (quatro) horas;</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pPr>
            <w:r>
              <w:rPr>
                <w:rFonts w:eastAsia="Times New Roman" w:cs="Times New Roman"/>
              </w:rPr>
              <w:t>em caso de atraso de mais de 4 (quatro) horas injustificado, será considerado descumprimento parcial do contrato.</w:t>
            </w:r>
          </w:p>
        </w:tc>
      </w:tr>
      <w:tr w:rsidR="007A538C">
        <w:tc>
          <w:tcPr>
            <w:tcW w:w="71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jc w:val="center"/>
            </w:pPr>
            <w:r>
              <w:rPr>
                <w:rFonts w:eastAsia="Times New Roman" w:cs="Times New Roman"/>
              </w:rPr>
              <w:t>11</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r>
              <w:rPr>
                <w:rFonts w:ascii="Times New Roman" w:eastAsia="ArialMT" w:hAnsi="Times New Roman" w:cs="Times New Roman"/>
              </w:rPr>
              <w:t xml:space="preserve">Disponibilizar técnico, mediante solicitação por demanda, por um período de 4  horas, conforme condições previstas neste Termo para prestar apoio técnico ao CNMP (item  </w:t>
            </w:r>
            <w:r>
              <w:rPr>
                <w:rFonts w:ascii="Times New Roman" w:eastAsia="ArialMT" w:hAnsi="Times New Roman" w:cs="Times New Roman"/>
              </w:rPr>
              <w:fldChar w:fldCharType="begin"/>
            </w:r>
            <w:r>
              <w:rPr>
                <w:rFonts w:ascii="Times New Roman" w:eastAsia="ArialMT" w:hAnsi="Times New Roman" w:cs="Times New Roman"/>
              </w:rPr>
              <w:instrText xml:space="preserve"> REF __RefNumPara__25973_1614366961 </w:instrText>
            </w:r>
            <w:r>
              <w:rPr>
                <w:rFonts w:ascii="Times New Roman" w:eastAsia="ArialMT" w:hAnsi="Times New Roman" w:cs="Times New Roman"/>
              </w:rPr>
              <w:fldChar w:fldCharType="end"/>
            </w:r>
            <w:r>
              <w:rPr>
                <w:rFonts w:ascii="Times New Roman" w:eastAsia="ArialMT" w:hAnsi="Times New Roman" w:cs="Times New Roma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Por chamado</w:t>
            </w:r>
          </w:p>
        </w:tc>
        <w:tc>
          <w:tcPr>
            <w:tcW w:w="30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538C" w:rsidRDefault="00A16C4F">
            <w:pPr>
              <w:pStyle w:val="Contedodetabela"/>
              <w:rPr>
                <w:rFonts w:eastAsia="Times New Roman" w:cs="Times New Roman"/>
              </w:rPr>
            </w:pPr>
            <w:r>
              <w:rPr>
                <w:rFonts w:eastAsia="Times New Roman" w:cs="Times New Roman"/>
              </w:rPr>
              <w:t>Desconto de 0,15% por cada hora de atraso, sobre o valor do contrato, caso o atraso seja até até o limite de 1 hora;</w:t>
            </w:r>
          </w:p>
          <w:p w:rsidR="007A538C" w:rsidRDefault="00A16C4F">
            <w:pPr>
              <w:pStyle w:val="Contedodetabela"/>
              <w:rPr>
                <w:rFonts w:eastAsia="Times New Roman" w:cs="Times New Roman"/>
              </w:rPr>
            </w:pPr>
            <w:r>
              <w:rPr>
                <w:rFonts w:eastAsia="Times New Roman" w:cs="Times New Roman"/>
              </w:rPr>
              <w:t>e</w:t>
            </w:r>
          </w:p>
          <w:p w:rsidR="007A538C" w:rsidRDefault="00A16C4F">
            <w:pPr>
              <w:pStyle w:val="Contedodetabela"/>
              <w:rPr>
                <w:rFonts w:eastAsia="Times New Roman" w:cs="Times New Roman"/>
              </w:rPr>
            </w:pPr>
            <w:r>
              <w:rPr>
                <w:rFonts w:eastAsia="Times New Roman" w:cs="Times New Roman"/>
              </w:rPr>
              <w:t>Desconto de 0,25% por cada hora de atraso, sobre o valor do contrato, para o atraso acima de 1 horas até 2 horas</w:t>
            </w:r>
          </w:p>
          <w:p w:rsidR="007A538C" w:rsidRDefault="00A16C4F">
            <w:pPr>
              <w:pStyle w:val="Contedodetabela"/>
              <w:rPr>
                <w:rFonts w:eastAsia="Times New Roman" w:cs="Times New Roman"/>
              </w:rPr>
            </w:pPr>
            <w:r>
              <w:rPr>
                <w:rFonts w:eastAsia="Times New Roman" w:cs="Times New Roman"/>
              </w:rPr>
              <w:t xml:space="preserve">e  </w:t>
            </w:r>
          </w:p>
          <w:p w:rsidR="007A538C" w:rsidRDefault="00A16C4F">
            <w:pPr>
              <w:pStyle w:val="Contedodetabela"/>
            </w:pPr>
            <w:r>
              <w:rPr>
                <w:rFonts w:eastAsia="Times New Roman" w:cs="Times New Roman"/>
              </w:rPr>
              <w:t>em caso de atraso superior a 2 horas injustificado, será considerado descumprimento parcial do contrato.</w:t>
            </w:r>
          </w:p>
        </w:tc>
      </w:tr>
    </w:tbl>
    <w:p w:rsidR="00A16C4F" w:rsidRDefault="00A16C4F">
      <w:pPr>
        <w:rPr>
          <w:rFonts w:cs="Mangal"/>
          <w:szCs w:val="21"/>
        </w:rPr>
        <w:sectPr w:rsidR="00A16C4F">
          <w:headerReference w:type="default" r:id="rId28"/>
          <w:footerReference w:type="default" r:id="rId29"/>
          <w:pgSz w:w="11906" w:h="16838"/>
          <w:pgMar w:top="3349" w:right="1134" w:bottom="1603" w:left="1134" w:header="1134" w:footer="1134" w:gutter="0"/>
          <w:cols w:space="720"/>
        </w:sectPr>
      </w:pPr>
    </w:p>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424D62" w:rsidRDefault="00424D62" w:rsidP="00424D62">
      <w:pPr>
        <w:pStyle w:val="Standard"/>
        <w:spacing w:line="360" w:lineRule="auto"/>
        <w:jc w:val="center"/>
      </w:pPr>
      <w:r>
        <w:rPr>
          <w:b/>
          <w:bCs/>
          <w:u w:val="single"/>
        </w:rPr>
        <w:t>PROCESSO SEI 19.00.6120.0000679/2018-85</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 01/2018</w:t>
      </w:r>
    </w:p>
    <w:p w:rsidR="007A538C" w:rsidRDefault="007A538C">
      <w:pPr>
        <w:pStyle w:val="Standard"/>
        <w:rPr>
          <w:b/>
        </w:rPr>
      </w:pPr>
    </w:p>
    <w:p w:rsidR="007A538C" w:rsidRDefault="00A16C4F">
      <w:pPr>
        <w:pStyle w:val="Standard"/>
        <w:rPr>
          <w:b/>
        </w:rPr>
      </w:pPr>
      <w:r>
        <w:rPr>
          <w:b/>
        </w:rPr>
        <w:t>Dados da Empresa</w:t>
      </w:r>
    </w:p>
    <w:p w:rsidR="007A538C" w:rsidRDefault="007A538C">
      <w:pPr>
        <w:pStyle w:val="Standard"/>
      </w:pPr>
    </w:p>
    <w:p w:rsidR="007A538C" w:rsidRDefault="00A16C4F">
      <w:pPr>
        <w:pStyle w:val="Framecontents"/>
        <w:spacing w:after="0"/>
        <w:ind w:right="158"/>
        <w:rPr>
          <w:rFonts w:eastAsia="Arial" w:cs="Arial"/>
          <w:b/>
          <w:bCs/>
          <w:sz w:val="24"/>
          <w:szCs w:val="24"/>
        </w:rPr>
      </w:pPr>
      <w:r>
        <w:rPr>
          <w:rFonts w:eastAsia="Arial" w:cs="Arial"/>
          <w:b/>
          <w:bCs/>
          <w:sz w:val="24"/>
          <w:szCs w:val="24"/>
        </w:rPr>
        <w:t>Dados da Empresa</w:t>
      </w:r>
    </w:p>
    <w:p w:rsidR="007A538C" w:rsidRDefault="00A16C4F">
      <w:pPr>
        <w:pStyle w:val="Framecontents"/>
        <w:spacing w:after="0"/>
        <w:ind w:right="158"/>
        <w:rPr>
          <w:rFonts w:eastAsia="Arial" w:cs="Arial"/>
          <w:bCs/>
          <w:sz w:val="24"/>
          <w:szCs w:val="24"/>
        </w:rPr>
      </w:pPr>
      <w:r>
        <w:rPr>
          <w:rFonts w:eastAsia="Arial" w:cs="Arial"/>
          <w:bCs/>
          <w:sz w:val="24"/>
          <w:szCs w:val="24"/>
        </w:rPr>
        <w:t>Razão Social:</w:t>
      </w:r>
    </w:p>
    <w:p w:rsidR="007A538C" w:rsidRDefault="00A16C4F">
      <w:pPr>
        <w:pStyle w:val="Framecontents"/>
        <w:spacing w:after="0"/>
        <w:ind w:right="158"/>
        <w:rPr>
          <w:rFonts w:eastAsia="Arial" w:cs="Arial"/>
          <w:bCs/>
          <w:sz w:val="24"/>
          <w:szCs w:val="24"/>
        </w:rPr>
      </w:pPr>
      <w:r>
        <w:rPr>
          <w:rFonts w:eastAsia="Arial" w:cs="Arial"/>
          <w:bCs/>
          <w:sz w:val="24"/>
          <w:szCs w:val="24"/>
        </w:rPr>
        <w:t>CNPJ:</w:t>
      </w:r>
    </w:p>
    <w:p w:rsidR="007A538C" w:rsidRDefault="00A16C4F">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7A538C" w:rsidRDefault="00A16C4F">
      <w:pPr>
        <w:pStyle w:val="Standard"/>
        <w:autoSpaceDE w:val="0"/>
        <w:rPr>
          <w:rFonts w:eastAsia="Arial" w:cs="Arial"/>
          <w:bCs/>
        </w:rPr>
      </w:pPr>
      <w:r>
        <w:rPr>
          <w:rFonts w:eastAsia="Arial" w:cs="Arial"/>
          <w:bCs/>
        </w:rPr>
        <w:t>Tel/Fax:</w:t>
      </w:r>
    </w:p>
    <w:p w:rsidR="007A538C" w:rsidRDefault="00A16C4F">
      <w:pPr>
        <w:pStyle w:val="Standard"/>
        <w:autoSpaceDE w:val="0"/>
        <w:rPr>
          <w:rFonts w:eastAsia="Arial" w:cs="Arial"/>
          <w:bCs/>
        </w:rPr>
      </w:pPr>
      <w:r>
        <w:rPr>
          <w:rFonts w:eastAsia="Arial" w:cs="Arial"/>
          <w:bCs/>
        </w:rPr>
        <w:t>Endereço:</w:t>
      </w:r>
    </w:p>
    <w:p w:rsidR="007A538C" w:rsidRDefault="00A16C4F">
      <w:pPr>
        <w:pStyle w:val="Standard"/>
      </w:pPr>
      <w:r>
        <w:t>Banco: Agência: C/C:</w:t>
      </w:r>
    </w:p>
    <w:p w:rsidR="007A538C" w:rsidRDefault="00A16C4F">
      <w:pPr>
        <w:pStyle w:val="Standard"/>
        <w:autoSpaceDE w:val="0"/>
        <w:rPr>
          <w:rFonts w:eastAsia="Arial" w:cs="Arial"/>
          <w:b/>
          <w:bCs/>
        </w:rPr>
      </w:pPr>
      <w:r>
        <w:rPr>
          <w:rFonts w:eastAsia="Arial" w:cs="Arial"/>
          <w:b/>
          <w:bCs/>
        </w:rPr>
        <w:t>Dados do Representante Legal, responsável pela assinatura do Contrato</w:t>
      </w:r>
    </w:p>
    <w:p w:rsidR="007A538C" w:rsidRDefault="00A16C4F">
      <w:pPr>
        <w:pStyle w:val="Standard"/>
        <w:autoSpaceDE w:val="0"/>
        <w:rPr>
          <w:rFonts w:eastAsia="Arial" w:cs="Arial"/>
          <w:bCs/>
        </w:rPr>
      </w:pPr>
      <w:r>
        <w:rPr>
          <w:rFonts w:eastAsia="Arial" w:cs="Arial"/>
          <w:bCs/>
        </w:rPr>
        <w:t>Nome:</w:t>
      </w:r>
    </w:p>
    <w:p w:rsidR="007A538C" w:rsidRDefault="00A16C4F">
      <w:pPr>
        <w:pStyle w:val="Standard"/>
        <w:autoSpaceDE w:val="0"/>
        <w:rPr>
          <w:rFonts w:eastAsia="Arial" w:cs="Arial"/>
          <w:bCs/>
        </w:rPr>
      </w:pPr>
      <w:r>
        <w:rPr>
          <w:rFonts w:eastAsia="Arial" w:cs="Arial"/>
          <w:bCs/>
        </w:rPr>
        <w:t>Função:</w:t>
      </w:r>
    </w:p>
    <w:p w:rsidR="007A538C" w:rsidRDefault="00A16C4F">
      <w:pPr>
        <w:pStyle w:val="Standard"/>
        <w:autoSpaceDE w:val="0"/>
        <w:rPr>
          <w:rFonts w:eastAsia="Arial" w:cs="Arial"/>
          <w:bCs/>
        </w:rPr>
      </w:pPr>
      <w:r>
        <w:rPr>
          <w:rFonts w:eastAsia="Arial" w:cs="Arial"/>
          <w:bCs/>
        </w:rPr>
        <w:t>CPF:</w:t>
      </w:r>
    </w:p>
    <w:p w:rsidR="007A538C" w:rsidRDefault="00A16C4F">
      <w:pPr>
        <w:pStyle w:val="Standard"/>
        <w:autoSpaceDE w:val="0"/>
        <w:rPr>
          <w:rFonts w:eastAsia="Arial" w:cs="Arial"/>
          <w:bCs/>
        </w:rPr>
      </w:pPr>
      <w:r>
        <w:rPr>
          <w:rFonts w:eastAsia="Arial" w:cs="Arial"/>
          <w:bCs/>
        </w:rPr>
        <w:t>Telefone/Fax:</w:t>
      </w:r>
    </w:p>
    <w:p w:rsidR="007A538C" w:rsidRDefault="00A16C4F">
      <w:pPr>
        <w:pStyle w:val="Standard"/>
      </w:pPr>
      <w:r>
        <w:rPr>
          <w:rFonts w:eastAsia="Arial" w:cs="Arial"/>
          <w:bCs/>
        </w:rPr>
        <w:t>Endereço Eletrônico (</w:t>
      </w:r>
      <w:r>
        <w:rPr>
          <w:rFonts w:eastAsia="Arial" w:cs="Arial"/>
          <w:bCs/>
          <w:i/>
          <w:iCs/>
        </w:rPr>
        <w:t>e-mail</w:t>
      </w:r>
      <w:r>
        <w:rPr>
          <w:rFonts w:eastAsia="Arial" w:cs="Arial"/>
          <w:bCs/>
        </w:rPr>
        <w:t>):</w:t>
      </w:r>
    </w:p>
    <w:p w:rsidR="007A538C" w:rsidRDefault="007A538C">
      <w:pPr>
        <w:pStyle w:val="Standard"/>
        <w:rPr>
          <w:rFonts w:eastAsia="Arial" w:cs="Arial"/>
          <w:bCs/>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850"/>
        <w:gridCol w:w="1276"/>
      </w:tblGrid>
      <w:tr w:rsidR="007A538C">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shd w:val="clear" w:color="auto" w:fill="B2B2B2"/>
              <w:jc w:val="both"/>
              <w:rPr>
                <w:rFonts w:eastAsia="Arial" w:cs="Times New Roman"/>
                <w:b/>
                <w:bCs/>
              </w:rPr>
            </w:pPr>
            <w:r>
              <w:rPr>
                <w:rFonts w:eastAsia="Arial" w:cs="Times New Roman"/>
                <w:b/>
                <w:bCs/>
              </w:rPr>
              <w:t>LOTE ÚNICO</w:t>
            </w:r>
          </w:p>
        </w:tc>
      </w:tr>
      <w:tr w:rsidR="007A538C">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Unidade</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Unitário</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Qtde anual</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Total (R$)</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rPr>
                <w:rFonts w:cs="Times New Roman"/>
              </w:rPr>
            </w:pPr>
            <w:r>
              <w:rPr>
                <w:rFonts w:cs="Times New Roman"/>
              </w:rPr>
              <w:t>Prestação de serviços técnicos de manutenção preventiva, preditiva e corretiva, incluindo o sistema de monitoramento de tráfego TKVISION, com o fornecimento de peças, componentes e acessórios genuínos para (3) três elevadores e 1 (uma) plataforma elevatória, marca ThyssenKrupp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7A538C">
            <w:pPr>
              <w:pStyle w:val="Standard"/>
              <w:tabs>
                <w:tab w:val="left" w:pos="709"/>
                <w:tab w:val="left" w:pos="1418"/>
              </w:tabs>
              <w:snapToGrid w:val="0"/>
              <w:spacing w:before="57" w:after="57" w:line="360" w:lineRule="auto"/>
              <w:jc w:val="center"/>
              <w:rPr>
                <w:rFonts w:eastAsia="Arial" w:cs="Times New Roman"/>
              </w:rPr>
            </w:pPr>
          </w:p>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Mês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lastRenderedPageBreak/>
              <w:t>2</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pPr>
            <w:r>
              <w:rPr>
                <w:rFonts w:cs="Times New Roman"/>
              </w:rPr>
              <w:t xml:space="preserve">Prestação de serviços de apoio técnico no local por um período contínuo de 4 horas, </w:t>
            </w:r>
            <w:r>
              <w:rPr>
                <w:rFonts w:cs="Times New Roman"/>
                <w:u w:val="single"/>
              </w:rPr>
              <w:t>sob demanda</w:t>
            </w:r>
            <w:r>
              <w:rPr>
                <w:rFonts w:cs="Times New Roman"/>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t>DEMANDA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both"/>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655"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TableContents"/>
              <w:jc w:val="center"/>
            </w:pPr>
            <w:r>
              <w:rPr>
                <w:rFonts w:eastAsia="Arial" w:cs="Times New Roman"/>
                <w:b/>
                <w:bCs/>
              </w:rPr>
              <w:t>VALOR GLOBAL  (R$)</w:t>
            </w:r>
          </w:p>
        </w:tc>
        <w:tc>
          <w:tcPr>
            <w:tcW w:w="2126"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rsidR="007A538C" w:rsidRDefault="007A538C">
            <w:pPr>
              <w:pStyle w:val="TableContents"/>
              <w:jc w:val="center"/>
              <w:rPr>
                <w:rFonts w:eastAsia="Arial" w:cs="Times New Roman"/>
              </w:rPr>
            </w:pPr>
          </w:p>
        </w:tc>
      </w:tr>
    </w:tbl>
    <w:p w:rsidR="007A538C" w:rsidRDefault="007A538C">
      <w:pPr>
        <w:pStyle w:val="Standard"/>
      </w:pPr>
    </w:p>
    <w:p w:rsidR="007A538C" w:rsidRDefault="007A538C">
      <w:pPr>
        <w:pStyle w:val="Standard"/>
        <w:spacing w:line="360" w:lineRule="auto"/>
        <w:jc w:val="both"/>
      </w:pPr>
    </w:p>
    <w:p w:rsidR="007A538C" w:rsidRDefault="00A16C4F">
      <w:pPr>
        <w:pStyle w:val="Standard"/>
        <w:spacing w:line="360" w:lineRule="auto"/>
        <w:jc w:val="both"/>
      </w:pPr>
      <w:r>
        <w:t>PRAZO DE VALIDADE DESTA PROPOSTA: _______</w:t>
      </w:r>
    </w:p>
    <w:p w:rsidR="007A538C" w:rsidRDefault="007A538C">
      <w:pPr>
        <w:pStyle w:val="Standard"/>
        <w:spacing w:line="360" w:lineRule="auto"/>
        <w:jc w:val="both"/>
      </w:pPr>
    </w:p>
    <w:p w:rsidR="007A538C" w:rsidRDefault="00A16C4F">
      <w:pPr>
        <w:pStyle w:val="Standard"/>
        <w:spacing w:line="360" w:lineRule="auto"/>
        <w:jc w:val="both"/>
      </w:pPr>
      <w:r>
        <w:t>Obs.1: Nos preços acima propostos estão inclusas todas as despesas e custos diretos e indiretos, como impostos, taxas, fretes, garantia e serviços de instalação.</w:t>
      </w:r>
    </w:p>
    <w:p w:rsidR="007A538C" w:rsidRDefault="007A538C">
      <w:pPr>
        <w:pStyle w:val="Standard"/>
        <w:spacing w:line="360" w:lineRule="auto"/>
        <w:jc w:val="both"/>
        <w:rPr>
          <w:rFonts w:cs="Franklin Gothic Medium"/>
        </w:rPr>
      </w:pPr>
    </w:p>
    <w:p w:rsidR="007A538C" w:rsidRDefault="007A538C">
      <w:pPr>
        <w:pStyle w:val="Standard"/>
        <w:spacing w:line="360" w:lineRule="auto"/>
        <w:jc w:val="both"/>
      </w:pPr>
    </w:p>
    <w:p w:rsidR="007A538C" w:rsidRDefault="007A538C">
      <w:pPr>
        <w:pStyle w:val="Standard"/>
        <w:spacing w:line="360" w:lineRule="auto"/>
        <w:jc w:val="both"/>
      </w:pPr>
    </w:p>
    <w:p w:rsidR="007A538C" w:rsidRDefault="00A16C4F">
      <w:pPr>
        <w:pStyle w:val="Standard"/>
        <w:spacing w:line="360" w:lineRule="auto"/>
        <w:jc w:val="center"/>
      </w:pPr>
      <w:r>
        <w:t>DATA: ____/____/ _______</w:t>
      </w:r>
    </w:p>
    <w:p w:rsidR="007A538C" w:rsidRDefault="007A538C">
      <w:pPr>
        <w:pStyle w:val="Standard"/>
        <w:suppressAutoHyphens w:val="0"/>
        <w:autoSpaceDE w:val="0"/>
        <w:spacing w:before="100" w:line="360" w:lineRule="auto"/>
        <w:jc w:val="center"/>
        <w:rPr>
          <w:rFonts w:eastAsia="Arial" w:cs="Times New Roman"/>
          <w:b/>
          <w:bCs/>
          <w:color w:val="000000"/>
          <w:u w:val="single"/>
          <w:lang w:eastAsia="en-US"/>
        </w:rPr>
      </w:pPr>
    </w:p>
    <w:p w:rsidR="007A538C" w:rsidRDefault="007A538C">
      <w:pPr>
        <w:pStyle w:val="Standard"/>
        <w:autoSpaceDE w:val="0"/>
      </w:pPr>
    </w:p>
    <w:p w:rsidR="007A538C" w:rsidRDefault="007A538C">
      <w:pPr>
        <w:pStyle w:val="Standard"/>
        <w:jc w:val="both"/>
      </w:pPr>
    </w:p>
    <w:p w:rsidR="007A538C" w:rsidRDefault="007A538C">
      <w:pPr>
        <w:pStyle w:val="Standard"/>
        <w:jc w:val="center"/>
      </w:pPr>
    </w:p>
    <w:p w:rsidR="007A538C" w:rsidRDefault="007A538C">
      <w:pPr>
        <w:pStyle w:val="Standard"/>
        <w:jc w:val="center"/>
      </w:pPr>
    </w:p>
    <w:p w:rsidR="007A538C" w:rsidRDefault="00A16C4F">
      <w:pPr>
        <w:pStyle w:val="Standard"/>
        <w:jc w:val="center"/>
      </w:pPr>
      <w:r>
        <w:t>_____________________________________________________________________</w:t>
      </w:r>
    </w:p>
    <w:p w:rsidR="007A538C" w:rsidRDefault="00A16C4F">
      <w:pPr>
        <w:pStyle w:val="Standard"/>
        <w:tabs>
          <w:tab w:val="left" w:pos="0"/>
        </w:tabs>
        <w:autoSpaceDE w:val="0"/>
        <w:spacing w:line="360" w:lineRule="auto"/>
        <w:jc w:val="center"/>
        <w:rPr>
          <w:color w:val="000000"/>
        </w:rPr>
        <w:sectPr w:rsidR="007A538C">
          <w:headerReference w:type="default" r:id="rId30"/>
          <w:footerReference w:type="default" r:id="rId31"/>
          <w:pgSz w:w="11906" w:h="16838"/>
          <w:pgMar w:top="3349" w:right="1134" w:bottom="1603" w:left="1134" w:header="1134" w:footer="1134" w:gutter="0"/>
          <w:cols w:space="720"/>
        </w:sectPr>
      </w:pPr>
      <w:r>
        <w:rPr>
          <w:color w:val="000000"/>
        </w:rPr>
        <w:t>PROPONENTE</w:t>
      </w:r>
    </w:p>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BF44B0" w:rsidRDefault="00BF44B0" w:rsidP="00BF44B0">
      <w:pPr>
        <w:pStyle w:val="Standard"/>
        <w:spacing w:line="360" w:lineRule="auto"/>
        <w:jc w:val="center"/>
      </w:pPr>
      <w:r>
        <w:rPr>
          <w:b/>
          <w:bCs/>
          <w:u w:val="single"/>
        </w:rPr>
        <w:t>PROCESSO SEI 19.00.6120.0000679/2018-85</w:t>
      </w:r>
    </w:p>
    <w:p w:rsidR="007A538C" w:rsidRDefault="00A16C4F">
      <w:pPr>
        <w:pStyle w:val="Standard"/>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01F30" w:rsidRDefault="00901F30"/>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01F30" w:rsidRDefault="00901F30"/>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01F30" w:rsidRDefault="00901F30"/>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01F30" w:rsidRDefault="00901F30"/>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2"/>
          <w:footerReference w:type="default" r:id="rId33"/>
          <w:pgSz w:w="11906" w:h="16838"/>
          <w:pgMar w:top="3349" w:right="1134" w:bottom="1603" w:left="1134" w:header="1134" w:footer="1134" w:gutter="0"/>
          <w:cols w:space="720"/>
        </w:sectPr>
      </w:pPr>
      <w:r>
        <w:rPr>
          <w:rFonts w:eastAsia="Times New Roman" w:cs="Times New Roman"/>
        </w:rPr>
        <w:t>(Assinatura Representante Legal da Empresa)</w:t>
      </w:r>
    </w:p>
    <w:p w:rsidR="007A538C" w:rsidRDefault="00A16C4F">
      <w:pPr>
        <w:pStyle w:val="Standard"/>
        <w:spacing w:line="360" w:lineRule="auto"/>
        <w:jc w:val="center"/>
        <w:rPr>
          <w:b/>
          <w:u w:val="single"/>
        </w:rPr>
      </w:pPr>
      <w:r>
        <w:rPr>
          <w:b/>
          <w:u w:val="single"/>
        </w:rPr>
        <w:lastRenderedPageBreak/>
        <w:t>EDITAL DE LICITAÇÃO Nº 01/2018</w:t>
      </w:r>
    </w:p>
    <w:p w:rsidR="007A538C" w:rsidRDefault="00A16C4F">
      <w:pPr>
        <w:pStyle w:val="Standard"/>
        <w:spacing w:line="360" w:lineRule="auto"/>
        <w:jc w:val="center"/>
        <w:rPr>
          <w:b/>
          <w:u w:val="single"/>
        </w:rPr>
      </w:pPr>
      <w:r>
        <w:rPr>
          <w:b/>
          <w:u w:val="single"/>
        </w:rPr>
        <w:t>MODALIDADE – PREGÃO ELETRÔNICO</w:t>
      </w:r>
    </w:p>
    <w:p w:rsidR="00BF44B0" w:rsidRDefault="00A16C4F" w:rsidP="00BF44B0">
      <w:pPr>
        <w:pStyle w:val="Standard"/>
        <w:spacing w:line="360" w:lineRule="auto"/>
        <w:jc w:val="center"/>
      </w:pPr>
      <w:r>
        <w:rPr>
          <w:b/>
          <w:bCs/>
          <w:u w:val="single"/>
        </w:rPr>
        <w:t xml:space="preserve">PROCESSO </w:t>
      </w:r>
      <w:r w:rsidR="00BF44B0">
        <w:rPr>
          <w:b/>
          <w:bCs/>
          <w:u w:val="single"/>
        </w:rPr>
        <w:t>SEI 19.00.6120.0000679/2018-85</w:t>
      </w:r>
    </w:p>
    <w:p w:rsidR="007A538C" w:rsidRDefault="00A16C4F">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2016,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pPr>
        <w:pStyle w:val="Standard"/>
        <w:numPr>
          <w:ilvl w:val="0"/>
          <w:numId w:val="26"/>
        </w:numPr>
        <w:tabs>
          <w:tab w:val="left" w:pos="-436"/>
          <w:tab w:val="left" w:pos="-360"/>
        </w:tabs>
        <w:spacing w:line="360" w:lineRule="auto"/>
        <w:ind w:left="0" w:firstLine="1418"/>
        <w:jc w:val="both"/>
      </w:pPr>
      <w:r>
        <w:t>Cumprir e fazer cumprir o disposto neste Contrato;</w:t>
      </w:r>
    </w:p>
    <w:p w:rsidR="007A538C" w:rsidRDefault="00A16C4F">
      <w:pPr>
        <w:pStyle w:val="Standard"/>
        <w:numPr>
          <w:ilvl w:val="0"/>
          <w:numId w:val="27"/>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pPr>
        <w:pStyle w:val="Standard"/>
        <w:numPr>
          <w:ilvl w:val="0"/>
          <w:numId w:val="29"/>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7A538C" w:rsidRDefault="00A16C4F">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7A538C" w:rsidRDefault="007A538C">
      <w:pPr>
        <w:pStyle w:val="Standard"/>
        <w:tabs>
          <w:tab w:val="left" w:pos="426"/>
        </w:tabs>
        <w:spacing w:line="360" w:lineRule="auto"/>
        <w:rPr>
          <w:rFonts w:cs="Trebuchet MS"/>
        </w:rPr>
      </w:pPr>
    </w:p>
    <w:p w:rsidR="007A538C" w:rsidRDefault="00A16C4F">
      <w:pPr>
        <w:pStyle w:val="western"/>
        <w:spacing w:before="58" w:after="0" w:line="360" w:lineRule="auto"/>
        <w:ind w:right="0" w:firstLine="851"/>
      </w:pPr>
      <w:r>
        <w:t xml:space="preserve"> </w:t>
      </w:r>
      <w:r>
        <w:tab/>
      </w:r>
      <w:r>
        <w:rPr>
          <w:rFonts w:eastAsia="Arial"/>
        </w:rPr>
        <w:t>O contrato terá vigência de 12 (doze) meses, podendo ser prorrogado por iguais e sucessivos períodos, limitada sua duração a 60 (sessenta) meses.</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7A538C" w:rsidRDefault="007A538C">
      <w:pPr>
        <w:pStyle w:val="Standard"/>
        <w:autoSpaceDE w:val="0"/>
        <w:spacing w:line="360" w:lineRule="auto"/>
        <w:ind w:left="430"/>
        <w:jc w:val="center"/>
        <w:rPr>
          <w:rFonts w:cs="Times New Roman"/>
          <w:b/>
          <w:bCs/>
          <w:u w:val="single"/>
        </w:rPr>
      </w:pPr>
    </w:p>
    <w:tbl>
      <w:tblPr>
        <w:tblW w:w="978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850"/>
        <w:gridCol w:w="1276"/>
      </w:tblGrid>
      <w:tr w:rsidR="007A538C">
        <w:tc>
          <w:tcPr>
            <w:tcW w:w="9781"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shd w:val="clear" w:color="auto" w:fill="B2B2B2"/>
              <w:jc w:val="both"/>
              <w:rPr>
                <w:rFonts w:eastAsia="Arial" w:cs="Times New Roman"/>
                <w:b/>
                <w:bCs/>
              </w:rPr>
            </w:pPr>
            <w:r>
              <w:rPr>
                <w:rFonts w:eastAsia="Arial" w:cs="Times New Roman"/>
                <w:b/>
                <w:bCs/>
              </w:rPr>
              <w:lastRenderedPageBreak/>
              <w:t>LOTE ÚNICO</w:t>
            </w:r>
          </w:p>
        </w:tc>
      </w:tr>
      <w:tr w:rsidR="007A538C">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Unidade</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Unitário</w:t>
            </w:r>
          </w:p>
        </w:tc>
        <w:tc>
          <w:tcPr>
            <w:tcW w:w="8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Qtde anual</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7A538C" w:rsidRDefault="00A16C4F">
            <w:pPr>
              <w:pStyle w:val="TableContents"/>
              <w:jc w:val="center"/>
              <w:rPr>
                <w:rFonts w:eastAsia="Arial" w:cs="Times New Roman"/>
                <w:b/>
                <w:bCs/>
              </w:rPr>
            </w:pPr>
            <w:r>
              <w:rPr>
                <w:rFonts w:eastAsia="Arial" w:cs="Times New Roman"/>
                <w:b/>
                <w:bCs/>
              </w:rPr>
              <w:t>Valor Total (R$)</w:t>
            </w: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rPr>
                <w:rFonts w:cs="Times New Roman"/>
              </w:rPr>
            </w:pPr>
            <w:r>
              <w:rPr>
                <w:rFonts w:cs="Times New Roman"/>
              </w:rPr>
              <w:t>Prestação de serviços técnicos de manutenção preventiva, preditiva e corretiva, incluindo o sistema de monitoramento de tráfego TKVISION, com o fornecimento de peças, componentes e acessórios genuínos para (3) três elevadores e 1 (uma) plataforma elevatória, marca ThyssenKrupp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Mês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center"/>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12</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2</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jc w:val="both"/>
            </w:pPr>
            <w:r>
              <w:rPr>
                <w:rFonts w:cs="Times New Roman"/>
              </w:rPr>
              <w:t xml:space="preserve">Prestação de serviços de apoio técnico no local por um período contínuo de 4 horas, </w:t>
            </w:r>
            <w:r>
              <w:rPr>
                <w:rFonts w:cs="Times New Roman"/>
                <w:u w:val="single"/>
              </w:rPr>
              <w:t>sob demanda</w:t>
            </w:r>
            <w:r>
              <w:rPr>
                <w:rFonts w:cs="Times New Roman"/>
              </w:rPr>
              <w:t>, por meio da disponibilização de um técnico de elevador, para acompanhar e monitorar a realização de serviços de terceiros nas instalações dos elevadores, bem como para assegurar o funcionamento contínuo e prestar resgates que porventura forem necessários nos elevadores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A16C4F">
            <w:pPr>
              <w:pStyle w:val="Standard"/>
              <w:tabs>
                <w:tab w:val="left" w:pos="709"/>
                <w:tab w:val="left" w:pos="1418"/>
              </w:tabs>
              <w:snapToGrid w:val="0"/>
              <w:spacing w:before="57" w:after="57" w:line="360" w:lineRule="auto"/>
              <w:jc w:val="both"/>
              <w:rPr>
                <w:rFonts w:eastAsia="Arial" w:cs="Times New Roman"/>
              </w:rPr>
            </w:pPr>
            <w:r>
              <w:rPr>
                <w:rFonts w:eastAsia="Arial" w:cs="Times New Roman"/>
              </w:rPr>
              <w:t>DEMANDA</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A538C" w:rsidRDefault="007A538C">
            <w:pPr>
              <w:pStyle w:val="Standard"/>
              <w:tabs>
                <w:tab w:val="left" w:pos="709"/>
                <w:tab w:val="left" w:pos="1418"/>
              </w:tabs>
              <w:snapToGrid w:val="0"/>
              <w:spacing w:before="57" w:after="57" w:line="360" w:lineRule="auto"/>
              <w:jc w:val="both"/>
              <w:rPr>
                <w:rFonts w:eastAsia="Arial" w:cs="Times New Roma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A538C" w:rsidRDefault="00A16C4F">
            <w:pPr>
              <w:pStyle w:val="TableContents"/>
              <w:jc w:val="center"/>
              <w:rPr>
                <w:rFonts w:eastAsia="Arial" w:cs="Times New Roman"/>
              </w:rPr>
            </w:pPr>
            <w:r>
              <w:rPr>
                <w:rFonts w:eastAsia="Arial" w:cs="Times New Roman"/>
              </w:rPr>
              <w:t>4</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538C" w:rsidRDefault="007A538C">
            <w:pPr>
              <w:pStyle w:val="TableContents"/>
              <w:jc w:val="center"/>
              <w:rPr>
                <w:rFonts w:eastAsia="Arial" w:cs="Times New Roman"/>
              </w:rPr>
            </w:pPr>
          </w:p>
        </w:tc>
      </w:tr>
      <w:tr w:rsidR="007A538C">
        <w:tc>
          <w:tcPr>
            <w:tcW w:w="7655" w:type="dxa"/>
            <w:gridSpan w:val="4"/>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7A538C" w:rsidRDefault="00A16C4F">
            <w:pPr>
              <w:pStyle w:val="TableContents"/>
              <w:jc w:val="center"/>
            </w:pPr>
            <w:r>
              <w:rPr>
                <w:rFonts w:eastAsia="Arial" w:cs="Times New Roman"/>
                <w:b/>
                <w:bCs/>
              </w:rPr>
              <w:t>VALOR GLOBAL  (R$)</w:t>
            </w:r>
          </w:p>
        </w:tc>
        <w:tc>
          <w:tcPr>
            <w:tcW w:w="2126" w:type="dxa"/>
            <w:gridSpan w:val="2"/>
            <w:tcBorders>
              <w:left w:val="single" w:sz="2" w:space="0" w:color="000000"/>
              <w:bottom w:val="single" w:sz="2" w:space="0" w:color="000000"/>
              <w:right w:val="single" w:sz="2" w:space="0" w:color="000000"/>
            </w:tcBorders>
            <w:shd w:val="clear" w:color="auto" w:fill="DDDDDD"/>
            <w:tcMar>
              <w:top w:w="0" w:type="dxa"/>
              <w:left w:w="10" w:type="dxa"/>
              <w:bottom w:w="0" w:type="dxa"/>
              <w:right w:w="10" w:type="dxa"/>
            </w:tcMar>
          </w:tcPr>
          <w:p w:rsidR="007A538C" w:rsidRDefault="007A538C">
            <w:pPr>
              <w:pStyle w:val="TableContents"/>
              <w:jc w:val="center"/>
              <w:rPr>
                <w:rFonts w:eastAsia="Arial" w:cs="Times New Roman"/>
              </w:rPr>
            </w:pPr>
          </w:p>
        </w:tc>
      </w:tr>
    </w:tbl>
    <w:p w:rsidR="007A538C" w:rsidRDefault="007A538C">
      <w:pPr>
        <w:pStyle w:val="Standard"/>
        <w:autoSpaceDE w:val="0"/>
        <w:spacing w:line="360" w:lineRule="auto"/>
        <w:ind w:firstLine="1417"/>
        <w:jc w:val="both"/>
        <w:rPr>
          <w:rFonts w:eastAsia="Arial-BoldMT" w:cs="Trebuchet MS"/>
          <w:b/>
          <w:bCs/>
          <w:u w:val="single"/>
        </w:rPr>
      </w:pPr>
    </w:p>
    <w:p w:rsidR="007A538C" w:rsidRDefault="007A538C">
      <w:pPr>
        <w:pStyle w:val="Standard"/>
        <w:autoSpaceDE w:val="0"/>
        <w:spacing w:line="360" w:lineRule="auto"/>
        <w:ind w:firstLine="1417"/>
        <w:jc w:val="both"/>
        <w:rPr>
          <w:rFonts w:eastAsia="Arial-BoldMT" w:cs="Trebuchet MS"/>
          <w:b/>
          <w:bCs/>
          <w:u w:val="single"/>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será efetuado conforme o subitem 13.2 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 xml:space="preserve">Instrução Normativa SRF nº 1.234, </w:t>
      </w:r>
      <w:r>
        <w:rPr>
          <w:rFonts w:cs="Trebuchet MS"/>
          <w:b/>
          <w:bCs/>
        </w:rPr>
        <w:lastRenderedPageBreak/>
        <w:t>de 11/01/2012.</w:t>
      </w: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lastRenderedPageBreak/>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Pr>
          <w:rFonts w:eastAsia="Arial" w:cs="Trebuchet MS"/>
          <w:i/>
          <w:iCs/>
          <w:color w:val="000000"/>
          <w:shd w:val="clear" w:color="auto" w:fill="FFFF00"/>
        </w:rPr>
        <w:t>IGP-DI</w:t>
      </w:r>
      <w:r>
        <w:rPr>
          <w:rFonts w:eastAsia="Arial" w:cs="Trebuchet MS"/>
          <w:color w:val="000000"/>
        </w:rPr>
        <w:t xml:space="preserve"> ou, na insubsistência deste, por outro índice que vier a substituí-lo.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primeiro. A contratada poderá exercer seu direito ao reajuste dos preços até a data da prorrogação contratual subsequente.</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 xml:space="preserve">hipóteses previstas nos itens 22 – Das Sanções Administrativas e 23 – Da </w:t>
      </w:r>
      <w:r>
        <w:rPr>
          <w:rFonts w:ascii="Times New Roman" w:eastAsia="Lucida Sans Unicode" w:hAnsi="Times New Roman" w:cs="Tahoma"/>
          <w:kern w:val="0"/>
        </w:rPr>
        <w:lastRenderedPageBreak/>
        <w:t>Tabela de Penalidade, ambos do Termo de Referência - Anexo I do Edital.</w:t>
      </w:r>
    </w:p>
    <w:p w:rsidR="007A538C" w:rsidRDefault="00A16C4F">
      <w:pPr>
        <w:pStyle w:val="PADRAO"/>
        <w:spacing w:line="360" w:lineRule="auto"/>
        <w:ind w:firstLine="1417"/>
      </w:pPr>
      <w:r>
        <w:rPr>
          <w:rFonts w:ascii="Times New Roman" w:eastAsia="Lucida Sans Unicode" w:hAnsi="Times New Roman" w:cs="Trebuchet MS"/>
        </w:rPr>
        <w:t>;</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sexto. Da aplicação das penas definidas no § 1º e no art. 87, da Lei n.º 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A16C4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QUATORZE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A inexecução total ou parcial do Contrato poderá ensejar a sua rescisão, conforme </w:t>
      </w:r>
      <w:r>
        <w:rPr>
          <w:rFonts w:cs="Trebuchet MS"/>
          <w:color w:val="000000"/>
        </w:rPr>
        <w:lastRenderedPageBreak/>
        <w:t>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lastRenderedPageBreak/>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spacing w:line="360" w:lineRule="auto"/>
        <w:ind w:firstLine="1417"/>
        <w:jc w:val="both"/>
        <w:rPr>
          <w:rFonts w:cs="Trebuchet MS"/>
          <w:b/>
          <w:u w:val="single"/>
        </w:rPr>
      </w:pPr>
      <w:r>
        <w:rPr>
          <w:rFonts w:cs="Trebuchet MS"/>
          <w:b/>
          <w:u w:val="single"/>
        </w:rPr>
        <w:t>CLÁUSULA QUINZE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b/>
          <w:u w:val="single"/>
        </w:rPr>
        <w:t>CLÁUSULA DESESSEIS – DA APROVAÇÃO E DA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Este Contrato será aprovado pelo Sr. Secretário-Geral do Conselho Nacional do Ministério Público, nos termos do art. 33, inciso I, do Decreto nº 93.872/1986.</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Parágrafo único. 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cs="Trebuchet MS"/>
          <w:b/>
          <w:bCs/>
          <w:u w:val="single"/>
        </w:rPr>
      </w:pPr>
      <w:r>
        <w:rPr>
          <w:rFonts w:cs="Trebuchet MS"/>
          <w:b/>
          <w:bCs/>
          <w:u w:val="single"/>
        </w:rPr>
        <w:t>CLÁUSULA DEZESSETE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assinado pelas partes juntamente com as testemunhas abaixo.</w:t>
      </w: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20" w:name="Texto5"/>
      <w:bookmarkStart w:id="21" w:name="Texto4"/>
      <w:bookmarkEnd w:id="20"/>
      <w:bookmarkEnd w:id="21"/>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A16C4F">
            <w:pPr>
              <w:pStyle w:val="WW-Recuodecorpodetexto2"/>
              <w:snapToGrid w:val="0"/>
              <w:spacing w:line="360" w:lineRule="auto"/>
              <w:rPr>
                <w:rFonts w:ascii="Times New Roman" w:hAnsi="Times New Roman" w:cs="Trebuchet MS"/>
                <w:u w:val="single"/>
              </w:rPr>
            </w:pPr>
            <w:r>
              <w:rPr>
                <w:rFonts w:ascii="Times New Roman" w:hAnsi="Times New Roman" w:cs="Trebuchet MS"/>
                <w:u w:val="single"/>
              </w:rPr>
              <w:t>TESTEMUNHAS:</w:t>
            </w:r>
          </w:p>
        </w:tc>
      </w:tr>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rPr>
            </w:pPr>
          </w:p>
          <w:p w:rsidR="007A538C" w:rsidRDefault="00A16C4F">
            <w:pPr>
              <w:pStyle w:val="WW-Recuodecorpodetexto2"/>
              <w:snapToGrid w:val="0"/>
              <w:spacing w:line="360" w:lineRule="auto"/>
              <w:rPr>
                <w:rFonts w:ascii="Times New Roman" w:hAnsi="Times New Roman" w:cs="Trebuchet MS"/>
              </w:rPr>
            </w:pPr>
            <w:r>
              <w:rPr>
                <w:rFonts w:ascii="Times New Roman" w:hAnsi="Times New Roman" w:cs="Trebuchet MS"/>
              </w:rPr>
              <w:t>______________________</w:t>
            </w:r>
          </w:p>
          <w:p w:rsidR="007A538C" w:rsidRDefault="00A16C4F">
            <w:pPr>
              <w:pStyle w:val="Standard"/>
              <w:snapToGrid w:val="0"/>
              <w:spacing w:line="360" w:lineRule="auto"/>
              <w:jc w:val="both"/>
              <w:rPr>
                <w:rFonts w:cs="Trebuchet MS"/>
              </w:rPr>
            </w:pPr>
            <w:r>
              <w:rPr>
                <w:rFonts w:cs="Trebuchet MS"/>
              </w:rPr>
              <w:t>NOME:</w:t>
            </w:r>
          </w:p>
          <w:p w:rsidR="007A538C" w:rsidRDefault="00A16C4F">
            <w:pPr>
              <w:pStyle w:val="Standard"/>
              <w:snapToGrid w:val="0"/>
              <w:spacing w:line="360" w:lineRule="auto"/>
              <w:jc w:val="both"/>
              <w:rPr>
                <w:rFonts w:cs="Trebuchet MS"/>
              </w:rPr>
            </w:pPr>
            <w:r>
              <w:rPr>
                <w:rFonts w:cs="Trebuchet MS"/>
              </w:rPr>
              <w:t>CPF:</w:t>
            </w:r>
          </w:p>
        </w:tc>
      </w:tr>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rPr>
            </w:pPr>
          </w:p>
          <w:p w:rsidR="007A538C" w:rsidRDefault="00A16C4F">
            <w:pPr>
              <w:pStyle w:val="WW-Recuodecorpodetexto2"/>
              <w:snapToGrid w:val="0"/>
              <w:spacing w:line="360" w:lineRule="auto"/>
              <w:rPr>
                <w:rFonts w:ascii="Times New Roman" w:hAnsi="Times New Roman" w:cs="Trebuchet MS"/>
              </w:rPr>
            </w:pPr>
            <w:r>
              <w:rPr>
                <w:rFonts w:ascii="Times New Roman" w:hAnsi="Times New Roman" w:cs="Trebuchet MS"/>
              </w:rPr>
              <w:t>______________________</w:t>
            </w:r>
          </w:p>
          <w:p w:rsidR="007A538C" w:rsidRDefault="00A16C4F">
            <w:pPr>
              <w:pStyle w:val="Standard"/>
              <w:snapToGrid w:val="0"/>
              <w:spacing w:line="360" w:lineRule="auto"/>
              <w:jc w:val="both"/>
              <w:rPr>
                <w:rFonts w:cs="Trebuchet MS"/>
              </w:rPr>
            </w:pPr>
            <w:r>
              <w:rPr>
                <w:rFonts w:cs="Trebuchet MS"/>
              </w:rPr>
              <w:t>NOME:</w:t>
            </w:r>
          </w:p>
          <w:p w:rsidR="007A538C" w:rsidRDefault="00A16C4F">
            <w:pPr>
              <w:pStyle w:val="Standard"/>
              <w:snapToGrid w:val="0"/>
              <w:spacing w:line="360" w:lineRule="auto"/>
              <w:jc w:val="both"/>
              <w:rPr>
                <w:rFonts w:cs="Trebuchet MS"/>
              </w:rPr>
            </w:pPr>
            <w:r>
              <w:rPr>
                <w:rFonts w:cs="Trebuchet MS"/>
              </w:rPr>
              <w:t>CPF:</w:t>
            </w:r>
          </w:p>
        </w:tc>
      </w:tr>
    </w:tbl>
    <w:p w:rsidR="007A538C" w:rsidRDefault="007A538C">
      <w:pPr>
        <w:pStyle w:val="WW-Recuodecorpodetexto21"/>
        <w:spacing w:line="360" w:lineRule="auto"/>
        <w:ind w:firstLine="0"/>
        <w:rPr>
          <w:rFonts w:ascii="Times New Roman" w:hAnsi="Times New Roman"/>
        </w:rPr>
      </w:pPr>
    </w:p>
    <w:p w:rsidR="007A538C" w:rsidRDefault="007A538C">
      <w:pPr>
        <w:pStyle w:val="WW-Recuodecorpodetexto21"/>
        <w:spacing w:line="360" w:lineRule="auto"/>
        <w:ind w:firstLine="0"/>
        <w:rPr>
          <w:rFonts w:ascii="Times New Roman" w:hAnsi="Times New Roman" w:cs="Trebuchet MS"/>
        </w:rPr>
      </w:pPr>
    </w:p>
    <w:p w:rsidR="007A538C" w:rsidRDefault="00A16C4F">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APROVO.</w:t>
      </w: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p w:rsidR="007A538C" w:rsidRDefault="00A16C4F">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ANEXO I do CONTRATO Nº          /2018</w:t>
      </w:r>
    </w:p>
    <w:p w:rsidR="007A538C" w:rsidRDefault="00A16C4F">
      <w:pPr>
        <w:pStyle w:val="WW-Recuodecorpodetexto21"/>
        <w:autoSpaceDE w:val="0"/>
        <w:spacing w:line="360" w:lineRule="auto"/>
        <w:ind w:firstLine="0"/>
        <w:jc w:val="center"/>
      </w:pPr>
      <w:r>
        <w:rPr>
          <w:rFonts w:ascii="Times New Roman" w:eastAsia="TimesNewRomanPSMT" w:hAnsi="Times New Roman" w:cs="Trebuchet MS"/>
          <w:b/>
          <w:bCs/>
          <w:color w:val="000000"/>
          <w:lang w:bidi="ar-SA"/>
        </w:rPr>
        <w:t>(Anexar Termo de Referência)</w:t>
      </w:r>
    </w:p>
    <w:p w:rsidR="007A538C" w:rsidRDefault="007A538C">
      <w:pPr>
        <w:pStyle w:val="Standard"/>
        <w:autoSpaceDE w:val="0"/>
        <w:spacing w:line="360" w:lineRule="auto"/>
        <w:jc w:val="center"/>
      </w:pPr>
    </w:p>
    <w:sectPr w:rsidR="007A538C">
      <w:headerReference w:type="default" r:id="rId34"/>
      <w:footerReference w:type="default" r:id="rId35"/>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30" w:rsidRDefault="00901F30">
      <w:r>
        <w:separator/>
      </w:r>
    </w:p>
  </w:endnote>
  <w:endnote w:type="continuationSeparator" w:id="0">
    <w:p w:rsidR="00901F30" w:rsidRDefault="0090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TTE4D8A148t00">
    <w:charset w:val="00"/>
    <w:family w:val="auto"/>
    <w:pitch w:val="default"/>
  </w:font>
  <w:font w:name="ZurichBT-Light">
    <w:charset w:val="00"/>
    <w:family w:val="auto"/>
    <w:pitch w:val="default"/>
  </w:font>
  <w:font w:name="Arial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8C7627">
      <w:rPr>
        <w:rFonts w:cs="Tahoma"/>
        <w:b/>
        <w:bCs/>
        <w:noProof/>
        <w:sz w:val="16"/>
        <w:szCs w:val="16"/>
      </w:rPr>
      <w:t>8</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8C7627">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8C7627">
      <w:rPr>
        <w:rFonts w:cs="Tahoma"/>
        <w:b/>
        <w:bCs/>
        <w:noProof/>
        <w:sz w:val="16"/>
        <w:szCs w:val="16"/>
      </w:rPr>
      <w:t>77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8C7627">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8C7627">
      <w:rPr>
        <w:rFonts w:cs="Tahoma"/>
        <w:b/>
        <w:bCs/>
        <w:noProof/>
        <w:sz w:val="16"/>
        <w:szCs w:val="16"/>
      </w:rPr>
      <w:t>79</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8C7627">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8C7627">
      <w:rPr>
        <w:rFonts w:cs="Tahoma"/>
        <w:b/>
        <w:bCs/>
        <w:noProof/>
        <w:sz w:val="16"/>
        <w:szCs w:val="16"/>
      </w:rPr>
      <w:t>81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8C7627">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Rodap"/>
      <w:jc w:val="both"/>
    </w:pPr>
  </w:p>
  <w:p w:rsidR="00901F30" w:rsidRDefault="00901F30">
    <w:pPr>
      <w:pStyle w:val="Rodap"/>
      <w:jc w:val="both"/>
    </w:pPr>
    <w:r>
      <w:rPr>
        <w:rFonts w:ascii="Trebuchet MS" w:hAnsi="Trebuchet MS" w:cs="Tahoma"/>
        <w:b/>
        <w:bCs/>
        <w:sz w:val="16"/>
        <w:szCs w:val="16"/>
      </w:rPr>
      <w:t xml:space="preserve">Processo SEI 19.00.6120.0000679/2018-85      </w:t>
    </w:r>
    <w:r>
      <w:rPr>
        <w:rFonts w:ascii="Trebuchet MS" w:hAnsi="Trebuchet MS" w:cs="Tahoma"/>
        <w:b/>
        <w:bCs/>
        <w:sz w:val="16"/>
        <w:szCs w:val="16"/>
      </w:rPr>
      <w:tab/>
      <w:t>Pregão Eletrônico CNMP nº 01/2018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8C7627">
      <w:rPr>
        <w:rFonts w:cs="Tahoma"/>
        <w:b/>
        <w:bCs/>
        <w:noProof/>
        <w:sz w:val="16"/>
        <w:szCs w:val="16"/>
      </w:rPr>
      <w:t>97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8C7627">
      <w:rPr>
        <w:rFonts w:cs="Tahoma"/>
        <w:b/>
        <w:bCs/>
        <w:noProof/>
        <w:sz w:val="16"/>
        <w:szCs w:val="16"/>
      </w:rPr>
      <w:t>97</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30" w:rsidRDefault="00901F30">
      <w:r>
        <w:separator/>
      </w:r>
    </w:p>
  </w:footnote>
  <w:footnote w:type="continuationSeparator" w:id="0">
    <w:p w:rsidR="00901F30" w:rsidRDefault="0090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F30" w:rsidRDefault="00901F30">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8"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19"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1"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CA100CC"/>
    <w:multiLevelType w:val="multilevel"/>
    <w:tmpl w:val="FAB82AD6"/>
    <w:lvl w:ilvl="0">
      <w:start w:val="1"/>
      <w:numFmt w:val="decimal"/>
      <w:lvlText w:val=" %1 "/>
      <w:lvlJc w:val="left"/>
      <w:pPr>
        <w:ind w:left="720"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12"/>
  </w:num>
  <w:num w:numId="2">
    <w:abstractNumId w:val="18"/>
  </w:num>
  <w:num w:numId="3">
    <w:abstractNumId w:val="7"/>
  </w:num>
  <w:num w:numId="4">
    <w:abstractNumId w:val="23"/>
  </w:num>
  <w:num w:numId="5">
    <w:abstractNumId w:val="17"/>
  </w:num>
  <w:num w:numId="6">
    <w:abstractNumId w:val="13"/>
  </w:num>
  <w:num w:numId="7">
    <w:abstractNumId w:val="15"/>
  </w:num>
  <w:num w:numId="8">
    <w:abstractNumId w:val="22"/>
  </w:num>
  <w:num w:numId="9">
    <w:abstractNumId w:val="14"/>
  </w:num>
  <w:num w:numId="10">
    <w:abstractNumId w:val="9"/>
  </w:num>
  <w:num w:numId="11">
    <w:abstractNumId w:val="5"/>
  </w:num>
  <w:num w:numId="12">
    <w:abstractNumId w:val="3"/>
  </w:num>
  <w:num w:numId="13">
    <w:abstractNumId w:val="11"/>
  </w:num>
  <w:num w:numId="14">
    <w:abstractNumId w:val="6"/>
  </w:num>
  <w:num w:numId="15">
    <w:abstractNumId w:val="20"/>
  </w:num>
  <w:num w:numId="16">
    <w:abstractNumId w:val="10"/>
  </w:num>
  <w:num w:numId="17">
    <w:abstractNumId w:val="16"/>
  </w:num>
  <w:num w:numId="18">
    <w:abstractNumId w:val="0"/>
  </w:num>
  <w:num w:numId="19">
    <w:abstractNumId w:val="19"/>
  </w:num>
  <w:num w:numId="20">
    <w:abstractNumId w:val="8"/>
  </w:num>
  <w:num w:numId="21">
    <w:abstractNumId w:val="1"/>
  </w:num>
  <w:num w:numId="22">
    <w:abstractNumId w:val="2"/>
  </w:num>
  <w:num w:numId="23">
    <w:abstractNumId w:val="21"/>
  </w:num>
  <w:num w:numId="24">
    <w:abstractNumId w:val="25"/>
  </w:num>
  <w:num w:numId="25">
    <w:abstractNumId w:val="24"/>
  </w:num>
  <w:num w:numId="26">
    <w:abstractNumId w:val="24"/>
    <w:lvlOverride w:ilvl="0">
      <w:startOverride w:val="1"/>
    </w:lvlOverride>
  </w:num>
  <w:num w:numId="27">
    <w:abstractNumId w:val="18"/>
    <w:lvlOverride w:ilvl="0">
      <w:startOverride w:val="2"/>
    </w:lvlOverride>
  </w:num>
  <w:num w:numId="28">
    <w:abstractNumId w:val="4"/>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553B6"/>
    <w:rsid w:val="001B616E"/>
    <w:rsid w:val="00270084"/>
    <w:rsid w:val="00350DBD"/>
    <w:rsid w:val="00424D62"/>
    <w:rsid w:val="007A538C"/>
    <w:rsid w:val="008C7627"/>
    <w:rsid w:val="00901F30"/>
    <w:rsid w:val="00944AE7"/>
    <w:rsid w:val="009912F4"/>
    <w:rsid w:val="009E00BE"/>
    <w:rsid w:val="00A16C4F"/>
    <w:rsid w:val="00AB2268"/>
    <w:rsid w:val="00B744BF"/>
    <w:rsid w:val="00BF44B0"/>
    <w:rsid w:val="00CD19B9"/>
    <w:rsid w:val="00D345C4"/>
    <w:rsid w:val="00D75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B855A"/>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eader" Target="header5.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24855</Words>
  <Characters>134221</Characters>
  <Application>Microsoft Office Word</Application>
  <DocSecurity>0</DocSecurity>
  <Lines>1118</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3</cp:revision>
  <cp:lastPrinted>2018-02-20T17:07:00Z</cp:lastPrinted>
  <dcterms:created xsi:type="dcterms:W3CDTF">2018-02-20T17:06:00Z</dcterms:created>
  <dcterms:modified xsi:type="dcterms:W3CDTF">2018-02-20T17:08:00Z</dcterms:modified>
</cp:coreProperties>
</file>